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7D7F" w14:textId="2AFEFB80" w:rsidR="003E1EF4" w:rsidRPr="006D6427" w:rsidRDefault="005453F4" w:rsidP="00532E50">
      <w:pPr>
        <w:jc w:val="center"/>
        <w:rPr>
          <w:szCs w:val="22"/>
          <w:lang w:val="fr-FR"/>
        </w:rPr>
      </w:pPr>
      <w:bookmarkStart w:id="0" w:name="0-heading-nodeId--245097714"/>
      <w:r w:rsidRPr="006D6427">
        <w:rPr>
          <w:b/>
          <w:szCs w:val="22"/>
          <w:lang w:val="fr-FR"/>
        </w:rPr>
        <w:t>OPPOSITION N°B 3 237 008 </w:t>
      </w:r>
    </w:p>
    <w:p w14:paraId="478A7D80" w14:textId="66E8C511" w:rsidR="003E1EF4" w:rsidRPr="006D6427" w:rsidRDefault="005453F4" w:rsidP="00532E50">
      <w:pPr>
        <w:jc w:val="center"/>
        <w:rPr>
          <w:szCs w:val="22"/>
          <w:lang w:val="fr-FR"/>
        </w:rPr>
      </w:pPr>
      <w:r w:rsidRPr="006D6427">
        <w:rPr>
          <w:szCs w:val="22"/>
          <w:lang w:val="fr-FR"/>
        </w:rPr>
        <w:t> </w:t>
      </w:r>
    </w:p>
    <w:p w14:paraId="478A7D81" w14:textId="0D92944F" w:rsidR="003E1EF4" w:rsidRPr="006D6427" w:rsidRDefault="005453F4" w:rsidP="00532E50">
      <w:pPr>
        <w:jc w:val="both"/>
        <w:rPr>
          <w:szCs w:val="22"/>
          <w:lang w:val="fr-FR"/>
        </w:rPr>
      </w:pPr>
      <w:r w:rsidRPr="006D6427">
        <w:rPr>
          <w:b/>
          <w:szCs w:val="22"/>
          <w:lang w:val="fr-FR"/>
        </w:rPr>
        <w:t>Richemont International S.A.</w:t>
      </w:r>
      <w:r w:rsidRPr="006D6427">
        <w:rPr>
          <w:szCs w:val="22"/>
          <w:lang w:val="fr-FR"/>
        </w:rPr>
        <w:t xml:space="preserve">, Route des Biches 10, 1752 Villars-sur-Glâne (Fribourg), Suisse (opposante), représentée par </w:t>
      </w:r>
      <w:r w:rsidRPr="006D6427">
        <w:rPr>
          <w:b/>
          <w:szCs w:val="22"/>
          <w:lang w:val="fr-FR"/>
        </w:rPr>
        <w:t xml:space="preserve">Emmanuel </w:t>
      </w:r>
      <w:r w:rsidR="00660DC8" w:rsidRPr="006D6427">
        <w:rPr>
          <w:b/>
          <w:szCs w:val="22"/>
          <w:lang w:val="fr-FR"/>
        </w:rPr>
        <w:t>d</w:t>
      </w:r>
      <w:r w:rsidRPr="006D6427">
        <w:rPr>
          <w:b/>
          <w:szCs w:val="22"/>
          <w:lang w:val="fr-FR"/>
        </w:rPr>
        <w:t xml:space="preserve">e </w:t>
      </w:r>
      <w:r w:rsidR="00660DC8" w:rsidRPr="006D6427">
        <w:rPr>
          <w:b/>
          <w:szCs w:val="22"/>
          <w:lang w:val="fr-FR"/>
        </w:rPr>
        <w:t>l</w:t>
      </w:r>
      <w:r w:rsidRPr="006D6427">
        <w:rPr>
          <w:b/>
          <w:szCs w:val="22"/>
          <w:lang w:val="fr-FR"/>
        </w:rPr>
        <w:t>a Brosse</w:t>
      </w:r>
      <w:r w:rsidRPr="006D6427">
        <w:rPr>
          <w:szCs w:val="22"/>
          <w:lang w:val="fr-FR"/>
        </w:rPr>
        <w:t xml:space="preserve">, 93 rue des </w:t>
      </w:r>
      <w:r w:rsidR="00532E50" w:rsidRPr="006D6427">
        <w:rPr>
          <w:szCs w:val="22"/>
          <w:lang w:val="fr-FR"/>
        </w:rPr>
        <w:t>C</w:t>
      </w:r>
      <w:r w:rsidRPr="006D6427">
        <w:rPr>
          <w:szCs w:val="22"/>
          <w:lang w:val="fr-FR"/>
        </w:rPr>
        <w:t xml:space="preserve">hênes, 01630 </w:t>
      </w:r>
      <w:proofErr w:type="spellStart"/>
      <w:r w:rsidRPr="006D6427">
        <w:rPr>
          <w:szCs w:val="22"/>
          <w:lang w:val="fr-FR"/>
        </w:rPr>
        <w:t>Sergy</w:t>
      </w:r>
      <w:proofErr w:type="spellEnd"/>
      <w:r w:rsidRPr="006D6427">
        <w:rPr>
          <w:szCs w:val="22"/>
          <w:lang w:val="fr-FR"/>
        </w:rPr>
        <w:t>, France (représentant professionnel)</w:t>
      </w:r>
    </w:p>
    <w:p w14:paraId="478A7D82" w14:textId="5F63C7EB" w:rsidR="003E1EF4" w:rsidRPr="006D6427" w:rsidRDefault="005453F4" w:rsidP="00532E50">
      <w:pPr>
        <w:jc w:val="center"/>
        <w:rPr>
          <w:szCs w:val="22"/>
          <w:lang w:val="fr-FR"/>
        </w:rPr>
      </w:pPr>
      <w:r w:rsidRPr="006D6427">
        <w:rPr>
          <w:szCs w:val="22"/>
          <w:lang w:val="fr-FR"/>
        </w:rPr>
        <w:t> </w:t>
      </w:r>
    </w:p>
    <w:p w14:paraId="478A7D83" w14:textId="77777777" w:rsidR="003E1EF4" w:rsidRPr="006D6427" w:rsidRDefault="005453F4" w:rsidP="00532E50">
      <w:pPr>
        <w:jc w:val="center"/>
        <w:rPr>
          <w:szCs w:val="22"/>
          <w:lang w:val="fr-FR"/>
        </w:rPr>
      </w:pPr>
      <w:r w:rsidRPr="006D6427">
        <w:rPr>
          <w:szCs w:val="22"/>
          <w:lang w:val="fr-FR"/>
        </w:rPr>
        <w:t>c o n t r e</w:t>
      </w:r>
    </w:p>
    <w:p w14:paraId="478A7D84" w14:textId="2827E036" w:rsidR="003E1EF4" w:rsidRPr="006D6427" w:rsidRDefault="005453F4" w:rsidP="00532E50">
      <w:pPr>
        <w:jc w:val="center"/>
        <w:rPr>
          <w:szCs w:val="22"/>
          <w:lang w:val="fr-FR"/>
        </w:rPr>
      </w:pPr>
      <w:r w:rsidRPr="006D6427">
        <w:rPr>
          <w:szCs w:val="22"/>
          <w:lang w:val="fr-FR"/>
        </w:rPr>
        <w:t> </w:t>
      </w:r>
    </w:p>
    <w:p w14:paraId="1EFBD55E" w14:textId="77777777" w:rsidR="006D6427" w:rsidRPr="006D6427" w:rsidRDefault="005453F4" w:rsidP="00532E50">
      <w:pPr>
        <w:jc w:val="both"/>
        <w:rPr>
          <w:szCs w:val="22"/>
          <w:lang w:val="fr-FR"/>
        </w:rPr>
      </w:pPr>
      <w:r w:rsidRPr="006D6427">
        <w:rPr>
          <w:b/>
          <w:szCs w:val="22"/>
          <w:lang w:val="fr-FR"/>
        </w:rPr>
        <w:t xml:space="preserve">Shenzhen </w:t>
      </w:r>
      <w:proofErr w:type="spellStart"/>
      <w:r w:rsidRPr="006D6427">
        <w:rPr>
          <w:b/>
          <w:szCs w:val="22"/>
          <w:lang w:val="fr-FR"/>
        </w:rPr>
        <w:t>Maikes</w:t>
      </w:r>
      <w:proofErr w:type="spellEnd"/>
      <w:r w:rsidRPr="006D6427">
        <w:rPr>
          <w:b/>
          <w:szCs w:val="22"/>
          <w:lang w:val="fr-FR"/>
        </w:rPr>
        <w:t xml:space="preserve"> </w:t>
      </w:r>
      <w:proofErr w:type="spellStart"/>
      <w:r w:rsidRPr="006D6427">
        <w:rPr>
          <w:b/>
          <w:szCs w:val="22"/>
          <w:lang w:val="fr-FR"/>
        </w:rPr>
        <w:t>Clock</w:t>
      </w:r>
      <w:proofErr w:type="spellEnd"/>
      <w:r w:rsidRPr="006D6427">
        <w:rPr>
          <w:b/>
          <w:szCs w:val="22"/>
          <w:lang w:val="fr-FR"/>
        </w:rPr>
        <w:t xml:space="preserve"> &amp; Watch Co., Ltd.</w:t>
      </w:r>
      <w:r w:rsidRPr="006D6427">
        <w:rPr>
          <w:szCs w:val="22"/>
          <w:lang w:val="fr-FR"/>
        </w:rPr>
        <w:t xml:space="preserve">, 314 Building A, </w:t>
      </w:r>
      <w:proofErr w:type="spellStart"/>
      <w:r w:rsidRPr="006D6427">
        <w:rPr>
          <w:szCs w:val="22"/>
          <w:lang w:val="fr-FR"/>
        </w:rPr>
        <w:t>Yunlizhigu</w:t>
      </w:r>
      <w:proofErr w:type="spellEnd"/>
      <w:r w:rsidRPr="006D6427">
        <w:rPr>
          <w:szCs w:val="22"/>
          <w:lang w:val="fr-FR"/>
        </w:rPr>
        <w:t xml:space="preserve">, 9 </w:t>
      </w:r>
      <w:proofErr w:type="spellStart"/>
      <w:r w:rsidRPr="006D6427">
        <w:rPr>
          <w:szCs w:val="22"/>
          <w:lang w:val="fr-FR"/>
        </w:rPr>
        <w:t>Xuncun</w:t>
      </w:r>
      <w:proofErr w:type="spellEnd"/>
      <w:r w:rsidRPr="006D6427">
        <w:rPr>
          <w:szCs w:val="22"/>
          <w:lang w:val="fr-FR"/>
        </w:rPr>
        <w:t xml:space="preserve"> Blvd, </w:t>
      </w:r>
      <w:proofErr w:type="spellStart"/>
      <w:r w:rsidRPr="006D6427">
        <w:rPr>
          <w:szCs w:val="22"/>
          <w:lang w:val="fr-FR"/>
        </w:rPr>
        <w:t>Bantian</w:t>
      </w:r>
      <w:proofErr w:type="spellEnd"/>
      <w:r w:rsidRPr="006D6427">
        <w:rPr>
          <w:szCs w:val="22"/>
          <w:lang w:val="fr-FR"/>
        </w:rPr>
        <w:t xml:space="preserve"> Street, </w:t>
      </w:r>
      <w:proofErr w:type="spellStart"/>
      <w:r w:rsidRPr="006D6427">
        <w:rPr>
          <w:szCs w:val="22"/>
          <w:lang w:val="fr-FR"/>
        </w:rPr>
        <w:t>Longgang</w:t>
      </w:r>
      <w:proofErr w:type="spellEnd"/>
      <w:r w:rsidRPr="006D6427">
        <w:rPr>
          <w:szCs w:val="22"/>
          <w:lang w:val="fr-FR"/>
        </w:rPr>
        <w:t xml:space="preserve"> District, 518100 Shenzhen, Guangdong, Chine (demanderesse), représentée par </w:t>
      </w:r>
      <w:proofErr w:type="spellStart"/>
      <w:r w:rsidRPr="006D6427">
        <w:rPr>
          <w:b/>
          <w:szCs w:val="22"/>
          <w:lang w:val="fr-FR"/>
        </w:rPr>
        <w:t>Ioannides</w:t>
      </w:r>
      <w:proofErr w:type="spellEnd"/>
      <w:r w:rsidRPr="006D6427">
        <w:rPr>
          <w:b/>
          <w:szCs w:val="22"/>
          <w:lang w:val="fr-FR"/>
        </w:rPr>
        <w:t xml:space="preserve">, </w:t>
      </w:r>
      <w:proofErr w:type="spellStart"/>
      <w:r w:rsidRPr="006D6427">
        <w:rPr>
          <w:b/>
          <w:szCs w:val="22"/>
          <w:lang w:val="fr-FR"/>
        </w:rPr>
        <w:t>Cleanthous</w:t>
      </w:r>
      <w:proofErr w:type="spellEnd"/>
      <w:r w:rsidRPr="006D6427">
        <w:rPr>
          <w:b/>
          <w:szCs w:val="22"/>
          <w:lang w:val="fr-FR"/>
        </w:rPr>
        <w:t xml:space="preserve"> &amp; Co </w:t>
      </w:r>
      <w:r w:rsidR="00532E50" w:rsidRPr="006D6427">
        <w:rPr>
          <w:b/>
          <w:szCs w:val="22"/>
          <w:lang w:val="fr-FR"/>
        </w:rPr>
        <w:t>LLC</w:t>
      </w:r>
      <w:r w:rsidRPr="006D6427">
        <w:rPr>
          <w:szCs w:val="22"/>
          <w:lang w:val="fr-FR"/>
        </w:rPr>
        <w:t xml:space="preserve">, 4 </w:t>
      </w:r>
      <w:proofErr w:type="spellStart"/>
      <w:r w:rsidRPr="006D6427">
        <w:rPr>
          <w:szCs w:val="22"/>
          <w:lang w:val="fr-FR"/>
        </w:rPr>
        <w:t>Prometheus</w:t>
      </w:r>
      <w:proofErr w:type="spellEnd"/>
      <w:r w:rsidRPr="006D6427">
        <w:rPr>
          <w:szCs w:val="22"/>
          <w:lang w:val="fr-FR"/>
        </w:rPr>
        <w:t xml:space="preserve"> Street 1st </w:t>
      </w:r>
      <w:proofErr w:type="spellStart"/>
      <w:r w:rsidRPr="006D6427">
        <w:rPr>
          <w:szCs w:val="22"/>
          <w:lang w:val="fr-FR"/>
        </w:rPr>
        <w:t>floor</w:t>
      </w:r>
      <w:proofErr w:type="spellEnd"/>
      <w:r w:rsidRPr="006D6427">
        <w:rPr>
          <w:szCs w:val="22"/>
          <w:lang w:val="fr-FR"/>
        </w:rPr>
        <w:t xml:space="preserve">, 1065 </w:t>
      </w:r>
      <w:proofErr w:type="spellStart"/>
      <w:r w:rsidRPr="006D6427">
        <w:rPr>
          <w:szCs w:val="22"/>
          <w:lang w:val="fr-FR"/>
        </w:rPr>
        <w:t>Nicosia</w:t>
      </w:r>
      <w:proofErr w:type="spellEnd"/>
      <w:r w:rsidRPr="006D6427">
        <w:rPr>
          <w:szCs w:val="22"/>
          <w:lang w:val="fr-FR"/>
        </w:rPr>
        <w:t>, Chypre (représentant professionnel).</w:t>
      </w:r>
    </w:p>
    <w:p w14:paraId="478A7D87" w14:textId="3E353843" w:rsidR="006D6427" w:rsidRPr="006D6427" w:rsidRDefault="006D6427" w:rsidP="00532E50">
      <w:pPr>
        <w:jc w:val="both"/>
        <w:rPr>
          <w:szCs w:val="22"/>
          <w:lang w:val="fr-FR"/>
        </w:rPr>
      </w:pPr>
    </w:p>
    <w:p w14:paraId="1EBA5396" w14:textId="77777777" w:rsidR="003E1EF4" w:rsidRPr="006D6427" w:rsidRDefault="006D6427" w:rsidP="00532E50">
      <w:pPr>
        <w:jc w:val="both"/>
        <w:rPr>
          <w:szCs w:val="22"/>
          <w:lang w:val="fr-FR"/>
        </w:rPr>
      </w:pPr>
      <w:r w:rsidRPr="006D6427">
        <w:rPr>
          <w:szCs w:val="22"/>
          <w:lang w:val="fr-FR"/>
        </w:rPr>
        <w:t>Le 12/03/2026, la division d’opposition rend la présente</w:t>
      </w:r>
    </w:p>
    <w:p w14:paraId="478A7D8A" w14:textId="1CBE94C0" w:rsidR="003E1EF4" w:rsidRPr="006D6427" w:rsidRDefault="005453F4" w:rsidP="00532E50">
      <w:pPr>
        <w:jc w:val="center"/>
        <w:rPr>
          <w:szCs w:val="22"/>
          <w:lang w:val="fr-FR"/>
        </w:rPr>
      </w:pPr>
      <w:r w:rsidRPr="006D6427">
        <w:rPr>
          <w:szCs w:val="22"/>
          <w:lang w:val="fr-FR"/>
        </w:rPr>
        <w:t> </w:t>
      </w:r>
    </w:p>
    <w:p w14:paraId="478A7D8B" w14:textId="52D4824D" w:rsidR="003E1EF4" w:rsidRPr="006D6427" w:rsidRDefault="005453F4" w:rsidP="00532E50">
      <w:pPr>
        <w:jc w:val="center"/>
        <w:rPr>
          <w:szCs w:val="22"/>
          <w:lang w:val="fr-FR"/>
        </w:rPr>
      </w:pPr>
      <w:r w:rsidRPr="006D6427">
        <w:rPr>
          <w:szCs w:val="22"/>
          <w:lang w:val="fr-FR"/>
        </w:rPr>
        <w:t> </w:t>
      </w:r>
    </w:p>
    <w:p w14:paraId="478A7D8C" w14:textId="21073416" w:rsidR="003E1EF4" w:rsidRPr="006D6427" w:rsidRDefault="005453F4" w:rsidP="00532E50">
      <w:pPr>
        <w:jc w:val="center"/>
        <w:rPr>
          <w:szCs w:val="22"/>
        </w:rPr>
      </w:pPr>
      <w:r w:rsidRPr="006D6427">
        <w:rPr>
          <w:b/>
          <w:szCs w:val="22"/>
        </w:rPr>
        <w:t>DECISION:</w:t>
      </w:r>
    </w:p>
    <w:p w14:paraId="478A7D8D" w14:textId="7D659C88" w:rsidR="003E1EF4" w:rsidRPr="006D6427" w:rsidRDefault="005453F4" w:rsidP="00532E50">
      <w:pPr>
        <w:rPr>
          <w:szCs w:val="22"/>
        </w:rPr>
      </w:pPr>
      <w:r w:rsidRPr="006D6427">
        <w:rPr>
          <w:szCs w:val="22"/>
        </w:rPr>
        <w:t> </w:t>
      </w:r>
    </w:p>
    <w:tbl>
      <w:tblPr>
        <w:tblW w:w="0" w:type="auto"/>
        <w:tblCellSpacing w:w="0" w:type="auto"/>
        <w:tblLook w:val="04A0" w:firstRow="1" w:lastRow="0" w:firstColumn="1" w:lastColumn="0" w:noHBand="0" w:noVBand="1"/>
      </w:tblPr>
      <w:tblGrid>
        <w:gridCol w:w="512"/>
        <w:gridCol w:w="8515"/>
      </w:tblGrid>
      <w:tr w:rsidR="000D05FA" w:rsidRPr="006D6427" w14:paraId="478A7D91" w14:textId="77777777" w:rsidTr="00532E50">
        <w:trPr>
          <w:trHeight w:val="30"/>
          <w:tblCellSpacing w:w="0" w:type="auto"/>
        </w:trPr>
        <w:tc>
          <w:tcPr>
            <w:tcW w:w="513" w:type="dxa"/>
            <w:tcMar>
              <w:top w:w="15" w:type="dxa"/>
              <w:left w:w="15" w:type="dxa"/>
              <w:bottom w:w="15" w:type="dxa"/>
              <w:right w:w="15" w:type="dxa"/>
            </w:tcMar>
          </w:tcPr>
          <w:p w14:paraId="478A7D8F" w14:textId="7181555B" w:rsidR="003E1EF4" w:rsidRPr="006D6427" w:rsidRDefault="005453F4" w:rsidP="00532E50">
            <w:pPr>
              <w:jc w:val="both"/>
              <w:rPr>
                <w:shadow/>
                <w:szCs w:val="22"/>
              </w:rPr>
            </w:pPr>
            <w:bookmarkStart w:id="1" w:name="chk-paragraph-2-4_nodeId--394182054"/>
            <w:bookmarkEnd w:id="0"/>
            <w:r w:rsidRPr="006D6427">
              <w:rPr>
                <w:b/>
                <w:szCs w:val="22"/>
              </w:rPr>
              <w:t>1.</w:t>
            </w:r>
          </w:p>
        </w:tc>
        <w:tc>
          <w:tcPr>
            <w:tcW w:w="8544" w:type="dxa"/>
            <w:tcMar>
              <w:top w:w="15" w:type="dxa"/>
              <w:left w:w="15" w:type="dxa"/>
              <w:bottom w:w="15" w:type="dxa"/>
              <w:right w:w="15" w:type="dxa"/>
            </w:tcMar>
          </w:tcPr>
          <w:p w14:paraId="478A7D90" w14:textId="3F7B1B19" w:rsidR="003E1EF4" w:rsidRPr="006D6427" w:rsidRDefault="005453F4" w:rsidP="00532E50">
            <w:pPr>
              <w:jc w:val="both"/>
              <w:rPr>
                <w:szCs w:val="22"/>
                <w:lang w:val="fr-FR"/>
              </w:rPr>
            </w:pPr>
            <w:r w:rsidRPr="006D6427">
              <w:rPr>
                <w:szCs w:val="22"/>
                <w:lang w:val="fr-FR"/>
              </w:rPr>
              <w:t>L’opposition n° B 3 237 008 est rejetée dans son intégralité.</w:t>
            </w:r>
          </w:p>
        </w:tc>
      </w:tr>
    </w:tbl>
    <w:p w14:paraId="478A7D92" w14:textId="452DE81D" w:rsidR="003E1EF4" w:rsidRPr="006D6427" w:rsidRDefault="005453F4" w:rsidP="00532E50">
      <w:pPr>
        <w:jc w:val="both"/>
        <w:rPr>
          <w:szCs w:val="22"/>
          <w:lang w:val="fr-FR"/>
        </w:rPr>
      </w:pPr>
      <w:r w:rsidRPr="006D6427">
        <w:rPr>
          <w:szCs w:val="22"/>
          <w:lang w:val="fr-FR"/>
        </w:rPr>
        <w:t> </w:t>
      </w:r>
    </w:p>
    <w:tbl>
      <w:tblPr>
        <w:tblW w:w="0" w:type="auto"/>
        <w:tblCellSpacing w:w="0" w:type="auto"/>
        <w:tblLook w:val="04A0" w:firstRow="1" w:lastRow="0" w:firstColumn="1" w:lastColumn="0" w:noHBand="0" w:noVBand="1"/>
      </w:tblPr>
      <w:tblGrid>
        <w:gridCol w:w="515"/>
        <w:gridCol w:w="8512"/>
      </w:tblGrid>
      <w:tr w:rsidR="000D05FA" w:rsidRPr="006D6427" w14:paraId="478A7D97" w14:textId="77777777" w:rsidTr="00532E50">
        <w:trPr>
          <w:trHeight w:val="30"/>
          <w:tblCellSpacing w:w="0" w:type="auto"/>
        </w:trPr>
        <w:tc>
          <w:tcPr>
            <w:tcW w:w="516" w:type="dxa"/>
            <w:tcMar>
              <w:top w:w="15" w:type="dxa"/>
              <w:left w:w="15" w:type="dxa"/>
              <w:bottom w:w="15" w:type="dxa"/>
              <w:right w:w="15" w:type="dxa"/>
            </w:tcMar>
          </w:tcPr>
          <w:p w14:paraId="478A7D95" w14:textId="50CE61DE" w:rsidR="003E1EF4" w:rsidRPr="006D6427" w:rsidRDefault="005453F4" w:rsidP="00532E50">
            <w:pPr>
              <w:rPr>
                <w:shadow/>
                <w:szCs w:val="22"/>
              </w:rPr>
            </w:pPr>
            <w:bookmarkStart w:id="2" w:name="chk-paragraph-2-4-1_nodeId-1146003216"/>
            <w:bookmarkEnd w:id="1"/>
            <w:r w:rsidRPr="006D6427">
              <w:rPr>
                <w:b/>
                <w:szCs w:val="22"/>
              </w:rPr>
              <w:t>2.</w:t>
            </w:r>
          </w:p>
        </w:tc>
        <w:tc>
          <w:tcPr>
            <w:tcW w:w="8541" w:type="dxa"/>
            <w:tcMar>
              <w:top w:w="15" w:type="dxa"/>
              <w:left w:w="15" w:type="dxa"/>
              <w:bottom w:w="15" w:type="dxa"/>
              <w:right w:w="15" w:type="dxa"/>
            </w:tcMar>
            <w:vAlign w:val="center"/>
          </w:tcPr>
          <w:p w14:paraId="478A7D96" w14:textId="4D416DB7" w:rsidR="003E1EF4" w:rsidRPr="006D6427" w:rsidRDefault="005453F4" w:rsidP="00532E50">
            <w:pPr>
              <w:rPr>
                <w:szCs w:val="22"/>
                <w:lang w:val="fr-FR"/>
              </w:rPr>
            </w:pPr>
            <w:r w:rsidRPr="006D6427">
              <w:rPr>
                <w:szCs w:val="22"/>
                <w:lang w:val="fr-FR"/>
              </w:rPr>
              <w:t>L’opposante supporte les frais, fixés à 300 EUR. </w:t>
            </w:r>
          </w:p>
        </w:tc>
      </w:tr>
    </w:tbl>
    <w:p w14:paraId="4AEB7132" w14:textId="77777777" w:rsidR="00532E50" w:rsidRPr="006D6427" w:rsidRDefault="00532E50" w:rsidP="00532E50">
      <w:pPr>
        <w:jc w:val="center"/>
        <w:rPr>
          <w:b/>
          <w:szCs w:val="22"/>
          <w:lang w:val="fr-FR"/>
        </w:rPr>
      </w:pPr>
      <w:bookmarkStart w:id="3" w:name="chk-paragraph-3_nodeId-1085394009"/>
      <w:bookmarkEnd w:id="2"/>
    </w:p>
    <w:p w14:paraId="6A14912E" w14:textId="77777777" w:rsidR="00532E50" w:rsidRPr="006D6427" w:rsidRDefault="00532E50" w:rsidP="00532E50">
      <w:pPr>
        <w:jc w:val="center"/>
        <w:rPr>
          <w:b/>
          <w:szCs w:val="22"/>
          <w:lang w:val="fr-FR"/>
        </w:rPr>
      </w:pPr>
    </w:p>
    <w:p w14:paraId="478A7D98" w14:textId="45626048" w:rsidR="003E1EF4" w:rsidRPr="006D6427" w:rsidRDefault="005453F4" w:rsidP="00532E50">
      <w:pPr>
        <w:jc w:val="center"/>
        <w:rPr>
          <w:szCs w:val="22"/>
          <w:lang w:val="fr-FR"/>
        </w:rPr>
      </w:pPr>
      <w:r w:rsidRPr="006D6427">
        <w:rPr>
          <w:b/>
          <w:szCs w:val="22"/>
          <w:lang w:val="fr-FR"/>
        </w:rPr>
        <w:t>MOTIFS</w:t>
      </w:r>
    </w:p>
    <w:p w14:paraId="478A7D99" w14:textId="3E0CC668" w:rsidR="003E1EF4" w:rsidRPr="006D6427" w:rsidRDefault="005453F4" w:rsidP="00532E50">
      <w:pPr>
        <w:jc w:val="both"/>
        <w:rPr>
          <w:szCs w:val="22"/>
          <w:lang w:val="fr-FR"/>
        </w:rPr>
      </w:pPr>
      <w:r w:rsidRPr="006D6427">
        <w:rPr>
          <w:szCs w:val="22"/>
          <w:lang w:val="fr-FR"/>
        </w:rPr>
        <w:t> </w:t>
      </w:r>
    </w:p>
    <w:p w14:paraId="478A7D9A" w14:textId="53B8CF5A" w:rsidR="003E1EF4" w:rsidRPr="006D6427" w:rsidRDefault="005453F4" w:rsidP="00C0268D">
      <w:pPr>
        <w:jc w:val="both"/>
        <w:rPr>
          <w:szCs w:val="22"/>
          <w:lang w:val="fr-FR"/>
        </w:rPr>
      </w:pPr>
      <w:r w:rsidRPr="006D6427">
        <w:rPr>
          <w:szCs w:val="22"/>
          <w:lang w:val="fr-FR"/>
        </w:rPr>
        <w:t>Le 08/04/2025, l’opposante a formé une opposition à l’encontre de tous les produits</w:t>
      </w:r>
      <w:r w:rsidR="00532E50" w:rsidRPr="006D6427">
        <w:rPr>
          <w:szCs w:val="22"/>
          <w:lang w:val="fr-FR"/>
        </w:rPr>
        <w:t xml:space="preserve"> </w:t>
      </w:r>
      <w:r w:rsidRPr="006D6427">
        <w:rPr>
          <w:szCs w:val="22"/>
          <w:lang w:val="fr-FR"/>
        </w:rPr>
        <w:t xml:space="preserve">visés par la demande de marque de l'Union européenne n° 19 124 993 </w:t>
      </w:r>
      <w:r w:rsidR="00532E50" w:rsidRPr="006D6427">
        <w:rPr>
          <w:szCs w:val="22"/>
          <w:lang w:val="fr-FR"/>
        </w:rPr>
        <w:t>« </w:t>
      </w:r>
      <w:r w:rsidRPr="006D6427">
        <w:rPr>
          <w:szCs w:val="22"/>
          <w:lang w:val="fr-FR"/>
        </w:rPr>
        <w:t>REZERO</w:t>
      </w:r>
      <w:r w:rsidR="00532E50" w:rsidRPr="006D6427">
        <w:rPr>
          <w:szCs w:val="22"/>
          <w:lang w:val="fr-FR"/>
        </w:rPr>
        <w:t> »</w:t>
      </w:r>
      <w:r w:rsidRPr="006D6427">
        <w:rPr>
          <w:szCs w:val="22"/>
          <w:lang w:val="fr-FR"/>
        </w:rPr>
        <w:t xml:space="preserve"> (marque verbale). L’opposition est fondée sur </w:t>
      </w:r>
      <w:r w:rsidR="00532E50" w:rsidRPr="006D6427">
        <w:rPr>
          <w:szCs w:val="22"/>
          <w:lang w:val="fr-FR"/>
        </w:rPr>
        <w:t>l’</w:t>
      </w:r>
      <w:r w:rsidRPr="006D6427">
        <w:rPr>
          <w:szCs w:val="22"/>
          <w:lang w:val="fr-FR"/>
        </w:rPr>
        <w:t xml:space="preserve">enregistrement de marque internationale désignant </w:t>
      </w:r>
      <w:proofErr w:type="spellStart"/>
      <w:r w:rsidR="00532E50" w:rsidRPr="006D6427">
        <w:rPr>
          <w:szCs w:val="22"/>
          <w:lang w:val="fr-FR"/>
        </w:rPr>
        <w:t>la</w:t>
      </w:r>
      <w:proofErr w:type="spellEnd"/>
      <w:r w:rsidR="00532E50" w:rsidRPr="006D6427">
        <w:rPr>
          <w:szCs w:val="22"/>
          <w:lang w:val="fr-FR"/>
        </w:rPr>
        <w:t xml:space="preserve"> </w:t>
      </w:r>
      <w:r w:rsidR="00C0268D" w:rsidRPr="006D6427">
        <w:rPr>
          <w:szCs w:val="22"/>
          <w:lang w:val="fr-FR"/>
        </w:rPr>
        <w:t xml:space="preserve">l’Allemagne, l’Autriche, le Benelux, la Bulgarie, la Croatie, le Danemark, l’Espagne, l’Estonie, la Finlande, la France, la Hongrie, l’Italie, la Lettonie, la Lituanie, la Pologne, le Portugal, la Roumanie, le République tchèque, la Slovaquie, la Slovénie, et la Suède </w:t>
      </w:r>
      <w:r w:rsidRPr="006D6427">
        <w:rPr>
          <w:szCs w:val="22"/>
          <w:lang w:val="fr-FR"/>
        </w:rPr>
        <w:t>n°</w:t>
      </w:r>
      <w:r w:rsidR="00532E50" w:rsidRPr="006D6427">
        <w:rPr>
          <w:szCs w:val="22"/>
          <w:lang w:val="fr-FR"/>
        </w:rPr>
        <w:t> </w:t>
      </w:r>
      <w:r w:rsidRPr="006D6427">
        <w:rPr>
          <w:szCs w:val="22"/>
          <w:lang w:val="fr-FR"/>
        </w:rPr>
        <w:t xml:space="preserve">728 933 </w:t>
      </w:r>
      <w:r w:rsidR="00532E50" w:rsidRPr="006D6427">
        <w:rPr>
          <w:szCs w:val="22"/>
          <w:lang w:val="fr-FR"/>
        </w:rPr>
        <w:t>« </w:t>
      </w:r>
      <w:r w:rsidRPr="006D6427">
        <w:rPr>
          <w:szCs w:val="22"/>
          <w:lang w:val="fr-FR"/>
        </w:rPr>
        <w:t>REVERSO</w:t>
      </w:r>
      <w:r w:rsidR="00532E50" w:rsidRPr="006D6427">
        <w:rPr>
          <w:szCs w:val="22"/>
          <w:lang w:val="fr-FR"/>
        </w:rPr>
        <w:t> » (marque verbale).</w:t>
      </w:r>
      <w:r w:rsidRPr="006D6427">
        <w:rPr>
          <w:szCs w:val="22"/>
          <w:lang w:val="fr-FR"/>
        </w:rPr>
        <w:t xml:space="preserve"> L’opposante a invoqué l’article 8, paragraphe 1, point b), </w:t>
      </w:r>
      <w:r w:rsidR="00532E50" w:rsidRPr="006D6427">
        <w:rPr>
          <w:szCs w:val="22"/>
          <w:lang w:val="fr-FR"/>
        </w:rPr>
        <w:t xml:space="preserve">et paragraphe 5 </w:t>
      </w:r>
      <w:r w:rsidRPr="006D6427">
        <w:rPr>
          <w:szCs w:val="22"/>
          <w:lang w:val="fr-FR"/>
        </w:rPr>
        <w:t>du RMUE. </w:t>
      </w:r>
    </w:p>
    <w:p w14:paraId="478A7D9B" w14:textId="796FC96E" w:rsidR="003E1EF4" w:rsidRPr="006D6427" w:rsidRDefault="005453F4" w:rsidP="00532E50">
      <w:pPr>
        <w:jc w:val="both"/>
        <w:rPr>
          <w:szCs w:val="22"/>
          <w:lang w:val="fr-FR"/>
        </w:rPr>
      </w:pPr>
      <w:r w:rsidRPr="006D6427">
        <w:rPr>
          <w:szCs w:val="22"/>
          <w:lang w:val="fr-FR"/>
        </w:rPr>
        <w:t> </w:t>
      </w:r>
    </w:p>
    <w:p w14:paraId="679DE1B6" w14:textId="77777777" w:rsidR="0022002B" w:rsidRPr="006D6427" w:rsidRDefault="0022002B" w:rsidP="00532E50">
      <w:pPr>
        <w:jc w:val="both"/>
        <w:rPr>
          <w:szCs w:val="22"/>
          <w:lang w:val="fr-FR"/>
        </w:rPr>
      </w:pPr>
    </w:p>
    <w:p w14:paraId="6575C969" w14:textId="6CEAD48E" w:rsidR="00DB174B" w:rsidRPr="006D6427" w:rsidRDefault="00DB174B" w:rsidP="00DB174B">
      <w:pPr>
        <w:jc w:val="both"/>
        <w:rPr>
          <w:szCs w:val="22"/>
          <w:lang w:val="fr-FR"/>
        </w:rPr>
      </w:pPr>
      <w:bookmarkStart w:id="4" w:name="chk-paragraph-9_nodeId--1671418853"/>
      <w:bookmarkEnd w:id="3"/>
      <w:r w:rsidRPr="006D6427">
        <w:rPr>
          <w:b/>
          <w:szCs w:val="22"/>
          <w:lang w:val="fr-FR"/>
        </w:rPr>
        <w:t>RENOMMEE ET CARACTERE DISTINCTIF ELEVE DE LA MARQUE ANTERIEURE</w:t>
      </w:r>
    </w:p>
    <w:p w14:paraId="0427ADD8" w14:textId="77777777" w:rsidR="00E76745" w:rsidRPr="006D6427" w:rsidRDefault="00E76745" w:rsidP="00532E50">
      <w:pPr>
        <w:rPr>
          <w:szCs w:val="22"/>
          <w:lang w:val="fr-FR"/>
        </w:rPr>
      </w:pPr>
    </w:p>
    <w:p w14:paraId="4B5217E2" w14:textId="2D0D31FD" w:rsidR="008F7AF4" w:rsidRPr="006D6427" w:rsidRDefault="00E76745" w:rsidP="008F7AF4">
      <w:pPr>
        <w:jc w:val="both"/>
        <w:rPr>
          <w:szCs w:val="22"/>
          <w:lang w:val="fr-FR"/>
        </w:rPr>
      </w:pPr>
      <w:r w:rsidRPr="006D6427">
        <w:rPr>
          <w:szCs w:val="22"/>
          <w:lang w:val="fr-FR"/>
        </w:rPr>
        <w:t xml:space="preserve">L’opposante </w:t>
      </w:r>
      <w:r w:rsidR="009217A4" w:rsidRPr="006D6427">
        <w:rPr>
          <w:szCs w:val="22"/>
          <w:lang w:val="fr-FR"/>
        </w:rPr>
        <w:t>revendique la renommée et le caractère distinctif élevé de la marque antérieure en raison de la connaissance de celle-ci sur le marché</w:t>
      </w:r>
      <w:r w:rsidR="008F7AF4" w:rsidRPr="006D6427">
        <w:rPr>
          <w:szCs w:val="22"/>
          <w:lang w:val="fr-FR"/>
        </w:rPr>
        <w:t xml:space="preserve"> en Allemagne, en Autriche, au Benelux, en Bulgarie, en Croatie, au Danemark, en Espagne, en Estonie, en Finlande, en France, en Hongrie, en Italie, en Lettonie, en Lituanie, en Pologne, au Portugal, en Roumanie, en République tchèque, en Slovaquie, en Slovénie, et en Suède pour tous les produits sur lesquels l’opposition est fondée, à savoir les </w:t>
      </w:r>
      <w:r w:rsidR="008F7AF4" w:rsidRPr="006D6427">
        <w:rPr>
          <w:i/>
          <w:iCs/>
          <w:szCs w:val="22"/>
          <w:lang w:val="fr-FR"/>
        </w:rPr>
        <w:t>métaux précieux et leurs alliages et produits en ces matières ou en plaqué compris dans cette classe ; joaillerie, bijouterie, pierres précieuses; horlogerie et instruments chronométriques, mouvements de montres, parties de montres; appareils pour la mesure du temps, pendulettes</w:t>
      </w:r>
      <w:r w:rsidR="008F7AF4" w:rsidRPr="006D6427">
        <w:rPr>
          <w:szCs w:val="22"/>
          <w:lang w:val="fr-FR"/>
        </w:rPr>
        <w:t xml:space="preserve">, compris dans la classe 14. </w:t>
      </w:r>
    </w:p>
    <w:p w14:paraId="276B0455" w14:textId="77777777" w:rsidR="008F7AF4" w:rsidRPr="006D6427" w:rsidRDefault="008F7AF4" w:rsidP="008F7AF4">
      <w:pPr>
        <w:jc w:val="both"/>
        <w:rPr>
          <w:szCs w:val="22"/>
          <w:lang w:val="fr-FR"/>
        </w:rPr>
      </w:pPr>
    </w:p>
    <w:p w14:paraId="0BDD3324" w14:textId="59054C53" w:rsidR="00715178" w:rsidRPr="006D6427" w:rsidRDefault="009217A4" w:rsidP="00715178">
      <w:pPr>
        <w:jc w:val="both"/>
        <w:rPr>
          <w:szCs w:val="22"/>
          <w:lang w:val="fr-FR"/>
        </w:rPr>
      </w:pPr>
      <w:r w:rsidRPr="006D6427">
        <w:rPr>
          <w:szCs w:val="22"/>
          <w:lang w:val="fr-FR"/>
        </w:rPr>
        <w:t>Ces allégations doivent être dûment examinée</w:t>
      </w:r>
      <w:r w:rsidR="008F7AF4" w:rsidRPr="006D6427">
        <w:rPr>
          <w:szCs w:val="22"/>
          <w:lang w:val="fr-FR"/>
        </w:rPr>
        <w:t>s</w:t>
      </w:r>
      <w:r w:rsidRPr="006D6427">
        <w:rPr>
          <w:szCs w:val="22"/>
          <w:lang w:val="fr-FR"/>
        </w:rPr>
        <w:t xml:space="preserve"> dans la mesure où le caractère distinctif de la marque antérieure fait partie des éléments à prendre en considération dans l’appréciation du risque de confusion au regard de l’article 8, par</w:t>
      </w:r>
      <w:r w:rsidR="00715178" w:rsidRPr="006D6427">
        <w:rPr>
          <w:szCs w:val="22"/>
          <w:lang w:val="fr-FR"/>
        </w:rPr>
        <w:t>a</w:t>
      </w:r>
      <w:r w:rsidRPr="006D6427">
        <w:rPr>
          <w:szCs w:val="22"/>
          <w:lang w:val="fr-FR"/>
        </w:rPr>
        <w:t>graphe 1, point b) du RMUE</w:t>
      </w:r>
      <w:r w:rsidR="00715178" w:rsidRPr="006D6427">
        <w:rPr>
          <w:szCs w:val="22"/>
          <w:lang w:val="fr-FR"/>
        </w:rPr>
        <w:t>. En effet, «</w:t>
      </w:r>
      <w:r w:rsidR="008F7AF4" w:rsidRPr="006D6427">
        <w:rPr>
          <w:szCs w:val="22"/>
          <w:lang w:val="fr-FR"/>
        </w:rPr>
        <w:t> </w:t>
      </w:r>
      <w:r w:rsidR="00715178" w:rsidRPr="006D6427">
        <w:rPr>
          <w:szCs w:val="22"/>
          <w:lang w:val="fr-FR"/>
        </w:rPr>
        <w:t>le risque de confusion est d'autant plus élevé que le caractère distinctif de la marque antérieure s'avère important</w:t>
      </w:r>
      <w:r w:rsidR="008F7AF4" w:rsidRPr="006D6427">
        <w:rPr>
          <w:szCs w:val="22"/>
          <w:lang w:val="fr-FR"/>
        </w:rPr>
        <w:t> </w:t>
      </w:r>
      <w:r w:rsidR="00715178" w:rsidRPr="006D6427">
        <w:rPr>
          <w:szCs w:val="22"/>
          <w:lang w:val="fr-FR"/>
        </w:rPr>
        <w:t xml:space="preserve">» et, par conséquent, les marques qui ont un caractère distinctif élevé en </w:t>
      </w:r>
      <w:r w:rsidR="00715178" w:rsidRPr="006D6427">
        <w:rPr>
          <w:szCs w:val="22"/>
          <w:lang w:val="fr-FR"/>
        </w:rPr>
        <w:lastRenderedPageBreak/>
        <w:t>raison de la connaissance de celles-ci sur le marché, jouissent d'une protection plus étendue que celles dont le caractère distinctif est moindre (29/09/1998, C</w:t>
      </w:r>
      <w:r w:rsidR="00715178" w:rsidRPr="006D6427">
        <w:rPr>
          <w:szCs w:val="22"/>
          <w:lang w:val="fr-FR"/>
        </w:rPr>
        <w:noBreakHyphen/>
        <w:t xml:space="preserve">39/97, Canon, </w:t>
      </w:r>
      <w:proofErr w:type="gramStart"/>
      <w:r w:rsidR="00715178" w:rsidRPr="006D6427">
        <w:rPr>
          <w:szCs w:val="22"/>
          <w:lang w:val="fr-FR"/>
        </w:rPr>
        <w:t>EU:C:1998:</w:t>
      </w:r>
      <w:proofErr w:type="gramEnd"/>
      <w:r w:rsidR="00715178" w:rsidRPr="006D6427">
        <w:rPr>
          <w:szCs w:val="22"/>
          <w:lang w:val="fr-FR"/>
        </w:rPr>
        <w:t>442, § 18).</w:t>
      </w:r>
    </w:p>
    <w:p w14:paraId="3FFF96CA" w14:textId="39C46D2F" w:rsidR="00715178" w:rsidRPr="006D6427" w:rsidRDefault="00715178" w:rsidP="00715178">
      <w:pPr>
        <w:jc w:val="both"/>
        <w:rPr>
          <w:szCs w:val="22"/>
          <w:lang w:val="fr-FR"/>
        </w:rPr>
      </w:pPr>
      <w:r w:rsidRPr="006D6427">
        <w:rPr>
          <w:szCs w:val="22"/>
          <w:lang w:val="fr-FR"/>
        </w:rPr>
        <w:t> </w:t>
      </w:r>
    </w:p>
    <w:p w14:paraId="667ED3B1" w14:textId="091BC48F" w:rsidR="00E76745" w:rsidRPr="006D6427" w:rsidRDefault="00715178" w:rsidP="009217A4">
      <w:pPr>
        <w:jc w:val="both"/>
        <w:rPr>
          <w:szCs w:val="22"/>
          <w:lang w:val="fr-FR"/>
        </w:rPr>
      </w:pPr>
      <w:r w:rsidRPr="006D6427">
        <w:rPr>
          <w:szCs w:val="22"/>
          <w:lang w:val="fr-FR"/>
        </w:rPr>
        <w:t xml:space="preserve">De plus, </w:t>
      </w:r>
      <w:r w:rsidR="009217A4" w:rsidRPr="006D6427">
        <w:rPr>
          <w:szCs w:val="22"/>
          <w:lang w:val="fr-FR"/>
        </w:rPr>
        <w:t xml:space="preserve">la renommée fait partie des éléments à prendre en considération dans l’appréciation </w:t>
      </w:r>
      <w:r w:rsidRPr="006D6427">
        <w:rPr>
          <w:szCs w:val="22"/>
          <w:lang w:val="fr-FR"/>
        </w:rPr>
        <w:t xml:space="preserve">de la question si l'usage sans juste motif de la marque demandée tirerait indûment profit du caractère distinctif ou de la renommée de cette marque antérieure ou leur porterait préjudice. </w:t>
      </w:r>
      <w:r w:rsidR="009217A4" w:rsidRPr="006D6427">
        <w:rPr>
          <w:szCs w:val="22"/>
          <w:lang w:val="fr-FR"/>
        </w:rPr>
        <w:t>Ainsi, la division d’opposition procèdera d’abord à l’examen de</w:t>
      </w:r>
      <w:r w:rsidRPr="006D6427">
        <w:rPr>
          <w:szCs w:val="22"/>
          <w:lang w:val="fr-FR"/>
        </w:rPr>
        <w:t>s pièces que l’opposante a présentées à l’appui de ses revendications.</w:t>
      </w:r>
    </w:p>
    <w:p w14:paraId="2E98A64F" w14:textId="77777777" w:rsidR="00E76745" w:rsidRPr="006D6427" w:rsidRDefault="00E76745" w:rsidP="00532E50">
      <w:pPr>
        <w:rPr>
          <w:szCs w:val="22"/>
          <w:lang w:val="fr-FR"/>
        </w:rPr>
      </w:pPr>
    </w:p>
    <w:p w14:paraId="65E609C2" w14:textId="77777777" w:rsidR="00E76745" w:rsidRPr="006D6427" w:rsidRDefault="00E76745" w:rsidP="00E76745">
      <w:pPr>
        <w:jc w:val="both"/>
        <w:rPr>
          <w:szCs w:val="22"/>
          <w:lang w:val="fr-FR"/>
        </w:rPr>
      </w:pPr>
      <w:r w:rsidRPr="006D6427">
        <w:rPr>
          <w:szCs w:val="22"/>
          <w:lang w:val="fr-FR"/>
        </w:rPr>
        <w:t>La renommée implique un seuil de connaissance qui n’est atteint que lorsque la marque antérieure est connue d’une partie significative du public concerné par les produits ou services qu’elle désigne. Le public au sein duquel la marque antérieure doit avoir acquis une renommée est celui concerné par cette marque, c’est-à-dire selon le produit ou service commercialisé, le grand public ou un public plus spécialisé.</w:t>
      </w:r>
    </w:p>
    <w:p w14:paraId="52B289A3" w14:textId="77777777" w:rsidR="00DB174B" w:rsidRPr="006D6427" w:rsidRDefault="00DB174B" w:rsidP="00E76745">
      <w:pPr>
        <w:jc w:val="both"/>
        <w:rPr>
          <w:szCs w:val="22"/>
          <w:lang w:val="fr-FR"/>
        </w:rPr>
      </w:pPr>
    </w:p>
    <w:p w14:paraId="23868651" w14:textId="77777777" w:rsidR="00DB174B" w:rsidRPr="006D6427" w:rsidRDefault="00DB174B" w:rsidP="00DB174B">
      <w:pPr>
        <w:jc w:val="both"/>
        <w:rPr>
          <w:szCs w:val="22"/>
          <w:lang w:val="fr-FR"/>
        </w:rPr>
      </w:pPr>
      <w:r w:rsidRPr="006D6427">
        <w:rPr>
          <w:szCs w:val="22"/>
          <w:lang w:val="fr-FR"/>
        </w:rPr>
        <w:t xml:space="preserve">Exiger que la marque antérieure soit connue d’une partie significative du public permet également de différencier les notions de renommée en tant que condition nécessaire à l’application de l’article 8, paragraphe 5, du RMUE, et de caractère distinctif accru par l’usage en tant que facteur de l’évaluation du risque de confusion aux fins d’application de l’article 8, paragraphe 1, point b), du RMUE. </w:t>
      </w:r>
    </w:p>
    <w:p w14:paraId="1562F364" w14:textId="77777777" w:rsidR="00DB174B" w:rsidRPr="006D6427" w:rsidRDefault="00DB174B" w:rsidP="00DB174B">
      <w:pPr>
        <w:jc w:val="both"/>
        <w:rPr>
          <w:szCs w:val="22"/>
          <w:lang w:val="fr-FR"/>
        </w:rPr>
      </w:pPr>
    </w:p>
    <w:p w14:paraId="3945A0BA" w14:textId="407A85C5" w:rsidR="00DB174B" w:rsidRPr="006D6427" w:rsidRDefault="00DB174B" w:rsidP="00DB174B">
      <w:pPr>
        <w:jc w:val="both"/>
        <w:rPr>
          <w:szCs w:val="22"/>
          <w:lang w:val="fr-FR"/>
        </w:rPr>
      </w:pPr>
      <w:r w:rsidRPr="006D6427">
        <w:rPr>
          <w:szCs w:val="22"/>
          <w:lang w:val="fr-FR"/>
        </w:rPr>
        <w:t xml:space="preserve">Le caractère distinctif accru d’une marque individuelle signifie que le public pertinent reconnaît la marque comme disposant d’une capacité accrue ou élevée à identifier les produits ou services pour lesquels elle est enregistrée comme provenant d’une entreprise déterminée. Le simple fait que le public pertinent connaisse ou reconnaisse la marque comme une marque de certification, par exemple, n’est pas suffisant. La reconnaissance accrue d’une marque doit se rapporter à sa fonction essentielle, qui, dans le cas des marques individuelles, est celle d’indicateur de l’origine commerciale. Le caractère distinctif accru de la marque résulte de son usage conformément à sa fonction essentielle [07/06/2018, </w:t>
      </w:r>
      <w:r w:rsidR="00742405" w:rsidRPr="006D6427">
        <w:rPr>
          <w:lang w:val="fr-FR"/>
        </w:rPr>
        <w:t>T</w:t>
      </w:r>
      <w:r w:rsidR="00742405" w:rsidRPr="006D6427">
        <w:rPr>
          <w:lang w:val="fr-FR"/>
        </w:rPr>
        <w:noBreakHyphen/>
        <w:t>807/16</w:t>
      </w:r>
      <w:r w:rsidRPr="006D6427">
        <w:rPr>
          <w:szCs w:val="22"/>
          <w:lang w:val="fr-FR"/>
        </w:rPr>
        <w:t xml:space="preserve">, N &amp; NF TRADING / NF ENVIRONNEMENT (fig.) et al., </w:t>
      </w:r>
      <w:proofErr w:type="gramStart"/>
      <w:r w:rsidRPr="006D6427">
        <w:rPr>
          <w:szCs w:val="22"/>
          <w:lang w:val="fr-FR"/>
        </w:rPr>
        <w:t>EU:T</w:t>
      </w:r>
      <w:proofErr w:type="gramEnd"/>
      <w:r w:rsidRPr="006D6427">
        <w:rPr>
          <w:szCs w:val="22"/>
          <w:lang w:val="fr-FR"/>
        </w:rPr>
        <w:t>:</w:t>
      </w:r>
      <w:proofErr w:type="gramStart"/>
      <w:r w:rsidRPr="006D6427">
        <w:rPr>
          <w:szCs w:val="22"/>
          <w:lang w:val="fr-FR"/>
        </w:rPr>
        <w:t>2018:</w:t>
      </w:r>
      <w:proofErr w:type="gramEnd"/>
      <w:r w:rsidRPr="006D6427">
        <w:rPr>
          <w:szCs w:val="22"/>
          <w:lang w:val="fr-FR"/>
        </w:rPr>
        <w:t>337].</w:t>
      </w:r>
    </w:p>
    <w:p w14:paraId="5512E63B" w14:textId="77777777" w:rsidR="00DB174B" w:rsidRPr="006D6427" w:rsidRDefault="00DB174B" w:rsidP="00DB174B">
      <w:pPr>
        <w:jc w:val="both"/>
        <w:rPr>
          <w:szCs w:val="22"/>
          <w:lang w:val="fr-FR"/>
        </w:rPr>
      </w:pPr>
    </w:p>
    <w:p w14:paraId="7564DC05" w14:textId="766F55A4" w:rsidR="00DB174B" w:rsidRPr="006D6427" w:rsidRDefault="00DB174B" w:rsidP="00DB174B">
      <w:pPr>
        <w:jc w:val="both"/>
        <w:rPr>
          <w:szCs w:val="22"/>
          <w:lang w:val="fr-FR"/>
        </w:rPr>
      </w:pPr>
      <w:r w:rsidRPr="006D6427">
        <w:rPr>
          <w:szCs w:val="22"/>
          <w:lang w:val="fr-FR"/>
        </w:rPr>
        <w:t>Si la reconnaissance d’une renommée requiert qu’un certain seuil de reconnaissance soit atteint, le seuil du caractère distinctif accru est susceptible d’être moins élevé.</w:t>
      </w:r>
    </w:p>
    <w:p w14:paraId="451149E4" w14:textId="15C6A4C6" w:rsidR="00E76745" w:rsidRPr="006D6427" w:rsidRDefault="00E76745" w:rsidP="00E76745">
      <w:pPr>
        <w:jc w:val="both"/>
        <w:rPr>
          <w:szCs w:val="22"/>
          <w:lang w:val="fr-FR"/>
        </w:rPr>
      </w:pPr>
      <w:r w:rsidRPr="006D6427">
        <w:rPr>
          <w:szCs w:val="22"/>
          <w:lang w:val="fr-FR"/>
        </w:rPr>
        <w:t> </w:t>
      </w:r>
    </w:p>
    <w:p w14:paraId="434C97AE" w14:textId="77777777" w:rsidR="00E76745" w:rsidRPr="006D6427" w:rsidRDefault="00E76745" w:rsidP="00E76745">
      <w:pPr>
        <w:jc w:val="both"/>
        <w:rPr>
          <w:szCs w:val="22"/>
          <w:lang w:val="fr-FR"/>
        </w:rPr>
      </w:pPr>
      <w:r w:rsidRPr="006D6427">
        <w:rPr>
          <w:szCs w:val="22"/>
          <w:lang w:val="fr-FR"/>
        </w:rPr>
        <w:t>Dans le cas présent, la marque contestée a été déposée le 27/12/2024. Par conséquent, l’opposante a été invitée à apporter la preuve que la marque antérieure sur laquelle l’opposition se fonde a acquis une renommée avant cette date. En principe, il suffit que l‘opposante démontre que sa marque bénéficiait déjà d’une renommée à cette date. S’il découle du libellé de l’article 8, paragraphe 5, du RMUE que les conditions de son application doivent également être réunies au moment de la décision et que, par conséquent, la renommée de la marque antérieure doit subsister au moment de la décision, il appartient à la demanderesse de revendiquer et de prouver toute perte ultérieure de renommée.</w:t>
      </w:r>
    </w:p>
    <w:p w14:paraId="6C63BE9B" w14:textId="77777777" w:rsidR="00E76745" w:rsidRPr="006D6427" w:rsidRDefault="00E76745" w:rsidP="00E76745">
      <w:pPr>
        <w:jc w:val="both"/>
        <w:rPr>
          <w:szCs w:val="22"/>
          <w:lang w:val="fr-FR"/>
        </w:rPr>
      </w:pPr>
    </w:p>
    <w:p w14:paraId="49943CB0" w14:textId="77777777" w:rsidR="00E76745" w:rsidRPr="006D6427" w:rsidRDefault="00E76745" w:rsidP="00E76745">
      <w:pPr>
        <w:jc w:val="both"/>
        <w:rPr>
          <w:szCs w:val="22"/>
          <w:lang w:val="fr-FR"/>
        </w:rPr>
      </w:pPr>
      <w:r w:rsidRPr="006D6427">
        <w:rPr>
          <w:szCs w:val="22"/>
          <w:lang w:val="fr-FR"/>
        </w:rPr>
        <w:t>Par ailleurs, les preuves doivent établir que la renommée a été acquise pour les produits par rapport auxquels la renommée a été invoquée par l’opposante, à savoir les produits listés supra.</w:t>
      </w:r>
    </w:p>
    <w:p w14:paraId="56E919DB" w14:textId="77777777" w:rsidR="00E76745" w:rsidRPr="006D6427" w:rsidRDefault="00E76745" w:rsidP="00E76745">
      <w:pPr>
        <w:jc w:val="both"/>
        <w:rPr>
          <w:szCs w:val="22"/>
          <w:lang w:val="fr-FR"/>
        </w:rPr>
      </w:pPr>
    </w:p>
    <w:p w14:paraId="4791D24E" w14:textId="77777777" w:rsidR="00E76745" w:rsidRPr="006D6427" w:rsidRDefault="00E76745" w:rsidP="00E76745">
      <w:pPr>
        <w:jc w:val="both"/>
        <w:rPr>
          <w:szCs w:val="22"/>
          <w:lang w:val="fr-FR"/>
        </w:rPr>
      </w:pPr>
      <w:r w:rsidRPr="006D6427">
        <w:rPr>
          <w:szCs w:val="22"/>
          <w:lang w:val="fr-FR"/>
        </w:rPr>
        <w:t>Afin de déterminer le niveau de renommée de la marque, il convient de prendre en considération tous les éléments pertinents de la cause, à savoir, notamment, la part de marché détenue par la marque, l’intensité, l’étendue géographique et la durée de son usage, ainsi que l’importance des investissements réalisés par l’entreprise pour la promouvoir.</w:t>
      </w:r>
    </w:p>
    <w:p w14:paraId="403DDBD1" w14:textId="5EA8B9D5" w:rsidR="00E76745" w:rsidRPr="006D6427" w:rsidRDefault="00E76745" w:rsidP="00E76745">
      <w:pPr>
        <w:jc w:val="both"/>
        <w:rPr>
          <w:szCs w:val="22"/>
          <w:lang w:val="fr-FR"/>
        </w:rPr>
      </w:pPr>
      <w:r w:rsidRPr="006D6427">
        <w:rPr>
          <w:szCs w:val="22"/>
          <w:lang w:val="fr-FR"/>
        </w:rPr>
        <w:t> </w:t>
      </w:r>
    </w:p>
    <w:p w14:paraId="2026C6D5" w14:textId="77777777" w:rsidR="00E76745" w:rsidRPr="006D6427" w:rsidRDefault="00E76745" w:rsidP="00E76745">
      <w:pPr>
        <w:jc w:val="both"/>
        <w:rPr>
          <w:szCs w:val="22"/>
          <w:lang w:val="fr-FR"/>
        </w:rPr>
      </w:pPr>
      <w:r w:rsidRPr="006D6427">
        <w:rPr>
          <w:szCs w:val="22"/>
          <w:lang w:val="fr-FR"/>
        </w:rPr>
        <w:t xml:space="preserve">Le 08/09/2025, l’opposante a présenté les preuves </w:t>
      </w:r>
      <w:proofErr w:type="gramStart"/>
      <w:r w:rsidRPr="006D6427">
        <w:rPr>
          <w:szCs w:val="22"/>
          <w:lang w:val="fr-FR"/>
        </w:rPr>
        <w:t>suivantes:</w:t>
      </w:r>
      <w:proofErr w:type="gramEnd"/>
    </w:p>
    <w:p w14:paraId="0AA68E0F" w14:textId="77777777" w:rsidR="00E76745" w:rsidRPr="006D6427" w:rsidRDefault="00E76745" w:rsidP="00E76745">
      <w:pPr>
        <w:jc w:val="both"/>
        <w:rPr>
          <w:szCs w:val="22"/>
          <w:lang w:val="fr-FR"/>
        </w:rPr>
      </w:pPr>
    </w:p>
    <w:p w14:paraId="32A47D2A" w14:textId="0C2EB641" w:rsidR="00E76745" w:rsidRPr="006D6427" w:rsidRDefault="00E76745" w:rsidP="00E76745">
      <w:pPr>
        <w:jc w:val="both"/>
        <w:rPr>
          <w:szCs w:val="22"/>
          <w:lang w:val="fr-FR"/>
        </w:rPr>
      </w:pPr>
      <w:r w:rsidRPr="006D6427">
        <w:rPr>
          <w:b/>
          <w:bCs/>
          <w:szCs w:val="22"/>
          <w:lang w:val="fr-FR"/>
        </w:rPr>
        <w:lastRenderedPageBreak/>
        <w:t>Annexe 1 :</w:t>
      </w:r>
      <w:r w:rsidRPr="006D6427">
        <w:rPr>
          <w:szCs w:val="22"/>
          <w:lang w:val="fr-FR"/>
        </w:rPr>
        <w:t xml:space="preserve"> Extrait de la banque de données </w:t>
      </w:r>
      <w:proofErr w:type="spellStart"/>
      <w:r w:rsidRPr="006D6427">
        <w:rPr>
          <w:szCs w:val="22"/>
          <w:lang w:val="fr-FR"/>
        </w:rPr>
        <w:t>Similarity</w:t>
      </w:r>
      <w:proofErr w:type="spellEnd"/>
      <w:r w:rsidRPr="006D6427">
        <w:rPr>
          <w:szCs w:val="22"/>
          <w:lang w:val="fr-FR"/>
        </w:rPr>
        <w:t xml:space="preserve"> de l’office</w:t>
      </w:r>
    </w:p>
    <w:p w14:paraId="6B627212" w14:textId="77777777" w:rsidR="00E76745" w:rsidRPr="006D6427" w:rsidRDefault="00E76745" w:rsidP="00E76745">
      <w:pPr>
        <w:jc w:val="both"/>
        <w:rPr>
          <w:szCs w:val="22"/>
          <w:lang w:val="fr-FR"/>
        </w:rPr>
      </w:pPr>
    </w:p>
    <w:p w14:paraId="3ABF171F" w14:textId="20EAF5CB" w:rsidR="00E76745" w:rsidRPr="006D6427" w:rsidRDefault="00E76745" w:rsidP="00E76745">
      <w:pPr>
        <w:jc w:val="both"/>
        <w:rPr>
          <w:szCs w:val="22"/>
          <w:lang w:val="fr-FR"/>
        </w:rPr>
      </w:pPr>
      <w:r w:rsidRPr="006D6427">
        <w:rPr>
          <w:b/>
          <w:bCs/>
          <w:szCs w:val="22"/>
          <w:lang w:val="fr-FR"/>
        </w:rPr>
        <w:t>Annexe 2 :</w:t>
      </w:r>
      <w:r w:rsidRPr="006D6427">
        <w:rPr>
          <w:szCs w:val="22"/>
          <w:lang w:val="fr-FR"/>
        </w:rPr>
        <w:t xml:space="preserve"> Décisions de l’EUIPO concernant le risque de confusion dans des affaires que l’opposante juge similaires. </w:t>
      </w:r>
    </w:p>
    <w:p w14:paraId="4FE6E065" w14:textId="77777777" w:rsidR="00E76745" w:rsidRPr="006D6427" w:rsidRDefault="00E76745" w:rsidP="00E76745">
      <w:pPr>
        <w:jc w:val="both"/>
        <w:rPr>
          <w:szCs w:val="22"/>
          <w:lang w:val="fr-FR"/>
        </w:rPr>
      </w:pPr>
    </w:p>
    <w:p w14:paraId="673B5E40" w14:textId="7CE86307" w:rsidR="00E76745" w:rsidRPr="006D6427" w:rsidRDefault="00E76745" w:rsidP="00E76745">
      <w:pPr>
        <w:jc w:val="both"/>
        <w:rPr>
          <w:szCs w:val="22"/>
          <w:lang w:val="fr-FR"/>
        </w:rPr>
      </w:pPr>
      <w:r w:rsidRPr="006D6427">
        <w:rPr>
          <w:b/>
          <w:bCs/>
          <w:szCs w:val="22"/>
          <w:lang w:val="fr-FR"/>
        </w:rPr>
        <w:t>Annexe 3 :</w:t>
      </w:r>
      <w:r w:rsidRPr="006D6427">
        <w:rPr>
          <w:szCs w:val="22"/>
          <w:lang w:val="fr-FR"/>
        </w:rPr>
        <w:t xml:space="preserve"> Articles anciens mentionnant les montres bracelets </w:t>
      </w:r>
      <w:proofErr w:type="spellStart"/>
      <w:r w:rsidRPr="006D6427">
        <w:rPr>
          <w:szCs w:val="22"/>
          <w:lang w:val="fr-FR"/>
        </w:rPr>
        <w:t>Reverso</w:t>
      </w:r>
      <w:proofErr w:type="spellEnd"/>
    </w:p>
    <w:p w14:paraId="6B9BBC1A" w14:textId="77777777" w:rsidR="00E76745" w:rsidRPr="006D6427" w:rsidRDefault="00E76745" w:rsidP="00E76745">
      <w:pPr>
        <w:jc w:val="both"/>
        <w:rPr>
          <w:szCs w:val="22"/>
          <w:lang w:val="fr-FR"/>
        </w:rPr>
      </w:pPr>
    </w:p>
    <w:p w14:paraId="508C1F24" w14:textId="2DBBA81F" w:rsidR="00E76745" w:rsidRPr="006D6427" w:rsidRDefault="00E76745" w:rsidP="00E76745">
      <w:pPr>
        <w:jc w:val="both"/>
        <w:rPr>
          <w:szCs w:val="22"/>
          <w:lang w:val="fr-FR"/>
        </w:rPr>
      </w:pPr>
      <w:r w:rsidRPr="006D6427">
        <w:rPr>
          <w:b/>
          <w:bCs/>
          <w:szCs w:val="22"/>
          <w:lang w:val="fr-FR"/>
        </w:rPr>
        <w:t>Annexe 4 :</w:t>
      </w:r>
      <w:r w:rsidRPr="006D6427">
        <w:rPr>
          <w:szCs w:val="22"/>
          <w:lang w:val="fr-FR"/>
        </w:rPr>
        <w:t xml:space="preserve"> Copies d’articles parus sur Internet tels que </w:t>
      </w:r>
      <w:r w:rsidR="00E05B1B" w:rsidRPr="006D6427">
        <w:rPr>
          <w:szCs w:val="22"/>
          <w:lang w:val="fr-FR"/>
        </w:rPr>
        <w:t>https://www.chrono24.fr/magazine/le-top-10-des-plus-grandes-montres-de-legende-p_12535/</w:t>
      </w:r>
      <w:r w:rsidRPr="006D6427">
        <w:rPr>
          <w:szCs w:val="22"/>
          <w:lang w:val="fr-FR"/>
        </w:rPr>
        <w:t xml:space="preserve">, https://lepetitpoussoir.fr/chroniques/culture-montre/15-montres-mythiques-a-connaitre/, </w:t>
      </w:r>
      <w:r w:rsidRPr="006D6427">
        <w:rPr>
          <w:lang w:val="fr-FR"/>
        </w:rPr>
        <w:t>https://magmontres.fr/montres-de-luxe-mythiques/</w:t>
      </w:r>
      <w:r w:rsidRPr="006D6427">
        <w:rPr>
          <w:szCs w:val="22"/>
          <w:lang w:val="fr-FR"/>
        </w:rPr>
        <w:t xml:space="preserve">, </w:t>
      </w:r>
      <w:r w:rsidRPr="006D6427">
        <w:rPr>
          <w:lang w:val="fr-FR"/>
        </w:rPr>
        <w:t>https://blog.rivluxe.fr/les-montres-mythiques/</w:t>
      </w:r>
      <w:r w:rsidRPr="006D6427">
        <w:rPr>
          <w:szCs w:val="22"/>
          <w:lang w:val="fr-FR"/>
        </w:rPr>
        <w:t xml:space="preserve">, </w:t>
      </w:r>
      <w:r w:rsidRPr="006D6427">
        <w:rPr>
          <w:lang w:val="fr-FR"/>
        </w:rPr>
        <w:t>https://www.chrono24.be/magazine/les-10-montres-les-plus-connues-de-tous-les-temps-p_107012/</w:t>
      </w:r>
      <w:r w:rsidRPr="006D6427">
        <w:rPr>
          <w:szCs w:val="22"/>
          <w:lang w:val="fr-FR"/>
        </w:rPr>
        <w:t xml:space="preserve">, </w:t>
      </w:r>
      <w:r w:rsidRPr="006D6427">
        <w:rPr>
          <w:lang w:val="fr-FR"/>
        </w:rPr>
        <w:t>https://lacotedesmontres.com/La-montre-Jaeger-LeCoultre-Reverso-Tribute-Chronograph-reinterpretee-en-or-rose-Une-version-audacieuse-avec-la-complication-sportive-par-excellence-No_13431.htm</w:t>
      </w:r>
      <w:r w:rsidRPr="006D6427">
        <w:rPr>
          <w:szCs w:val="22"/>
          <w:lang w:val="fr-FR"/>
        </w:rPr>
        <w:t xml:space="preserve">, mentionnant les montres </w:t>
      </w:r>
      <w:proofErr w:type="spellStart"/>
      <w:r w:rsidRPr="006D6427">
        <w:rPr>
          <w:szCs w:val="22"/>
          <w:lang w:val="fr-FR"/>
        </w:rPr>
        <w:t>Reverso</w:t>
      </w:r>
      <w:proofErr w:type="spellEnd"/>
      <w:r w:rsidRPr="006D6427">
        <w:rPr>
          <w:szCs w:val="22"/>
          <w:lang w:val="fr-FR"/>
        </w:rPr>
        <w:t>.</w:t>
      </w:r>
    </w:p>
    <w:p w14:paraId="2A937EEC" w14:textId="77777777" w:rsidR="00E76745" w:rsidRPr="006D6427" w:rsidRDefault="00E76745" w:rsidP="00E76745">
      <w:pPr>
        <w:jc w:val="both"/>
        <w:rPr>
          <w:szCs w:val="22"/>
          <w:lang w:val="fr-FR"/>
        </w:rPr>
      </w:pPr>
    </w:p>
    <w:p w14:paraId="74E481C2" w14:textId="52D83B23" w:rsidR="00E76745" w:rsidRPr="006D6427" w:rsidRDefault="00E76745" w:rsidP="00E76745">
      <w:pPr>
        <w:jc w:val="both"/>
        <w:rPr>
          <w:szCs w:val="22"/>
          <w:lang w:val="fr-FR"/>
        </w:rPr>
      </w:pPr>
      <w:r w:rsidRPr="006D6427">
        <w:rPr>
          <w:b/>
          <w:bCs/>
          <w:szCs w:val="22"/>
          <w:lang w:val="fr-FR"/>
        </w:rPr>
        <w:t>Annexe 5 :</w:t>
      </w:r>
      <w:r w:rsidRPr="006D6427">
        <w:rPr>
          <w:szCs w:val="22"/>
          <w:lang w:val="fr-FR"/>
        </w:rPr>
        <w:t xml:space="preserve"> Articles de presse parus en France dans lesquels on peut lire notamment :</w:t>
      </w:r>
    </w:p>
    <w:p w14:paraId="7D52D527" w14:textId="77777777" w:rsidR="00E76745" w:rsidRPr="006D6427" w:rsidRDefault="00E76745" w:rsidP="00E76745">
      <w:pPr>
        <w:jc w:val="both"/>
        <w:rPr>
          <w:szCs w:val="22"/>
          <w:lang w:val="fr-FR"/>
        </w:rPr>
      </w:pPr>
    </w:p>
    <w:p w14:paraId="6DC825BD" w14:textId="25CD469D"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L’histoire de l’iconique montre </w:t>
      </w:r>
      <w:proofErr w:type="spellStart"/>
      <w:r w:rsidR="00E76745" w:rsidRPr="006D6427">
        <w:rPr>
          <w:i/>
          <w:iCs/>
          <w:szCs w:val="22"/>
          <w:lang w:val="fr-FR"/>
        </w:rPr>
        <w:t>Reverso</w:t>
      </w:r>
      <w:proofErr w:type="spellEnd"/>
      <w:r w:rsidR="00E76745" w:rsidRPr="006D6427">
        <w:rPr>
          <w:i/>
          <w:iCs/>
          <w:szCs w:val="22"/>
          <w:lang w:val="fr-FR"/>
        </w:rPr>
        <w:t> </w:t>
      </w:r>
      <w:r w:rsidR="00E76745" w:rsidRPr="006D6427">
        <w:rPr>
          <w:szCs w:val="22"/>
          <w:lang w:val="fr-FR"/>
        </w:rPr>
        <w:t>» (…) « </w:t>
      </w:r>
      <w:r w:rsidR="00E76745" w:rsidRPr="006D6427">
        <w:rPr>
          <w:i/>
          <w:iCs/>
          <w:szCs w:val="22"/>
          <w:lang w:val="fr-FR"/>
        </w:rPr>
        <w:t>Créée en 1931 par la maison d’horlogerie de luxe suisse Jaeger-</w:t>
      </w:r>
      <w:proofErr w:type="spellStart"/>
      <w:r w:rsidR="00E76745" w:rsidRPr="006D6427">
        <w:rPr>
          <w:i/>
          <w:iCs/>
          <w:szCs w:val="22"/>
          <w:lang w:val="fr-FR"/>
        </w:rPr>
        <w:t>LeCoultre</w:t>
      </w:r>
      <w:proofErr w:type="spellEnd"/>
      <w:r w:rsidR="00E76745" w:rsidRPr="006D6427">
        <w:rPr>
          <w:i/>
          <w:iCs/>
          <w:szCs w:val="22"/>
          <w:lang w:val="fr-FR"/>
        </w:rPr>
        <w:t xml:space="preserve">, la montre </w:t>
      </w:r>
      <w:proofErr w:type="spellStart"/>
      <w:r w:rsidR="00E76745" w:rsidRPr="006D6427">
        <w:rPr>
          <w:i/>
          <w:iCs/>
          <w:szCs w:val="22"/>
          <w:lang w:val="fr-FR"/>
        </w:rPr>
        <w:t>Reverso</w:t>
      </w:r>
      <w:proofErr w:type="spellEnd"/>
      <w:r w:rsidR="00E76745" w:rsidRPr="006D6427">
        <w:rPr>
          <w:i/>
          <w:iCs/>
          <w:szCs w:val="22"/>
          <w:lang w:val="fr-FR"/>
        </w:rPr>
        <w:t xml:space="preserve"> s’est érigée au rang d’icône au fil du siècle dernier </w:t>
      </w:r>
      <w:r w:rsidR="00E76745" w:rsidRPr="006D6427">
        <w:rPr>
          <w:szCs w:val="22"/>
          <w:lang w:val="fr-FR"/>
        </w:rPr>
        <w:t>» (Numéro, novembre 2023).</w:t>
      </w:r>
    </w:p>
    <w:p w14:paraId="325CA525" w14:textId="522C5E91" w:rsidR="00E76745" w:rsidRPr="006D6427" w:rsidRDefault="006D6427" w:rsidP="006D6427">
      <w:pPr>
        <w:ind w:left="360" w:hanging="360"/>
        <w:jc w:val="both"/>
        <w:rPr>
          <w:i/>
          <w:iCs/>
          <w:szCs w:val="22"/>
          <w:lang w:val="fr-FR"/>
        </w:rPr>
      </w:pPr>
      <w:r w:rsidRPr="006D6427">
        <w:rPr>
          <w:iCs/>
          <w:szCs w:val="22"/>
          <w:lang w:val="fr-FR"/>
        </w:rPr>
        <w:t>-</w:t>
      </w:r>
      <w:r w:rsidRPr="006D6427">
        <w:rPr>
          <w:iCs/>
          <w:szCs w:val="22"/>
          <w:lang w:val="fr-FR"/>
        </w:rPr>
        <w:tab/>
      </w:r>
      <w:r w:rsidR="00E76745" w:rsidRPr="006D6427">
        <w:rPr>
          <w:szCs w:val="22"/>
          <w:lang w:val="fr-FR"/>
        </w:rPr>
        <w:t>« </w:t>
      </w:r>
      <w:r w:rsidR="00E76745" w:rsidRPr="006D6427">
        <w:rPr>
          <w:i/>
          <w:iCs/>
          <w:szCs w:val="22"/>
          <w:lang w:val="fr-FR"/>
        </w:rPr>
        <w:t xml:space="preserve">Montre Culte : la </w:t>
      </w:r>
      <w:proofErr w:type="spellStart"/>
      <w:r w:rsidR="00E76745" w:rsidRPr="006D6427">
        <w:rPr>
          <w:i/>
          <w:iCs/>
          <w:szCs w:val="22"/>
          <w:lang w:val="fr-FR"/>
        </w:rPr>
        <w:t>Reverso</w:t>
      </w:r>
      <w:proofErr w:type="spellEnd"/>
      <w:r w:rsidR="00E76745" w:rsidRPr="006D6427">
        <w:rPr>
          <w:i/>
          <w:iCs/>
          <w:szCs w:val="22"/>
          <w:lang w:val="fr-FR"/>
        </w:rPr>
        <w:t xml:space="preserve"> de Jaeger-</w:t>
      </w:r>
      <w:proofErr w:type="spellStart"/>
      <w:r w:rsidR="00E76745" w:rsidRPr="006D6427">
        <w:rPr>
          <w:i/>
          <w:iCs/>
          <w:szCs w:val="22"/>
          <w:lang w:val="fr-FR"/>
        </w:rPr>
        <w:t>LeCoultre</w:t>
      </w:r>
      <w:proofErr w:type="spellEnd"/>
      <w:r w:rsidR="00E76745" w:rsidRPr="006D6427">
        <w:rPr>
          <w:i/>
          <w:iCs/>
          <w:szCs w:val="22"/>
          <w:lang w:val="fr-FR"/>
        </w:rPr>
        <w:t> </w:t>
      </w:r>
      <w:r w:rsidR="00E76745" w:rsidRPr="006D6427">
        <w:rPr>
          <w:szCs w:val="22"/>
          <w:lang w:val="fr-FR"/>
        </w:rPr>
        <w:t>» (…) « </w:t>
      </w:r>
      <w:r w:rsidR="00E76745" w:rsidRPr="006D6427">
        <w:rPr>
          <w:i/>
          <w:iCs/>
          <w:szCs w:val="22"/>
          <w:lang w:val="fr-FR"/>
        </w:rPr>
        <w:t xml:space="preserve">la </w:t>
      </w:r>
      <w:proofErr w:type="spellStart"/>
      <w:r w:rsidR="00E76745" w:rsidRPr="006D6427">
        <w:rPr>
          <w:i/>
          <w:iCs/>
          <w:szCs w:val="22"/>
          <w:lang w:val="fr-FR"/>
        </w:rPr>
        <w:t>Reverso</w:t>
      </w:r>
      <w:proofErr w:type="spellEnd"/>
      <w:r w:rsidR="00E76745" w:rsidRPr="006D6427">
        <w:rPr>
          <w:i/>
          <w:iCs/>
          <w:szCs w:val="22"/>
          <w:lang w:val="fr-FR"/>
        </w:rPr>
        <w:t xml:space="preserve"> est une montre de légende unique en son genre </w:t>
      </w:r>
      <w:r w:rsidR="00E76745" w:rsidRPr="006D6427">
        <w:rPr>
          <w:szCs w:val="22"/>
          <w:lang w:val="fr-FR"/>
        </w:rPr>
        <w:t xml:space="preserve">» </w:t>
      </w:r>
      <w:r w:rsidR="00E76745" w:rsidRPr="006D6427">
        <w:rPr>
          <w:i/>
          <w:iCs/>
          <w:szCs w:val="22"/>
          <w:lang w:val="fr-FR"/>
        </w:rPr>
        <w:t xml:space="preserve">(Cf Marie Claire, </w:t>
      </w:r>
      <w:r w:rsidR="00E05B1B" w:rsidRPr="006D6427">
        <w:rPr>
          <w:szCs w:val="22"/>
          <w:lang w:val="fr-FR"/>
        </w:rPr>
        <w:t>https://www.marieclaire.fr/,montrereverso-</w:t>
      </w:r>
      <w:r w:rsidR="00E76745" w:rsidRPr="006D6427">
        <w:rPr>
          <w:i/>
          <w:iCs/>
          <w:szCs w:val="22"/>
          <w:lang w:val="fr-FR"/>
        </w:rPr>
        <w:t>jaeger-lecoultre,2610299,441452.asp)</w:t>
      </w:r>
    </w:p>
    <w:p w14:paraId="27383C0F" w14:textId="57B41A86"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i/>
          <w:iCs/>
          <w:szCs w:val="22"/>
          <w:lang w:val="fr-FR"/>
        </w:rPr>
        <w:t xml:space="preserve">« L’iconique garde-temps rectangulaire » (…) L’histoire de la mythique montre </w:t>
      </w:r>
      <w:proofErr w:type="spellStart"/>
      <w:r w:rsidR="00E76745" w:rsidRPr="006D6427">
        <w:rPr>
          <w:i/>
          <w:iCs/>
          <w:szCs w:val="22"/>
          <w:lang w:val="fr-FR"/>
        </w:rPr>
        <w:t>Reverso</w:t>
      </w:r>
      <w:proofErr w:type="spellEnd"/>
      <w:r w:rsidR="00E76745" w:rsidRPr="006D6427">
        <w:rPr>
          <w:i/>
          <w:iCs/>
          <w:szCs w:val="22"/>
          <w:lang w:val="fr-FR"/>
        </w:rPr>
        <w:t> </w:t>
      </w:r>
      <w:r w:rsidR="00E76745" w:rsidRPr="006D6427">
        <w:rPr>
          <w:szCs w:val="22"/>
          <w:lang w:val="fr-FR"/>
        </w:rPr>
        <w:t>» (Le Point, mai 2024)</w:t>
      </w:r>
    </w:p>
    <w:p w14:paraId="3364C718" w14:textId="7EDC7DF0"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C’est l’une des montres les plus connues au monde : pourquoi la Jaeger-</w:t>
      </w:r>
      <w:proofErr w:type="spellStart"/>
      <w:r w:rsidR="00E76745" w:rsidRPr="006D6427">
        <w:rPr>
          <w:i/>
          <w:iCs/>
          <w:szCs w:val="22"/>
          <w:lang w:val="fr-FR"/>
        </w:rPr>
        <w:t>LeCoultre</w:t>
      </w:r>
      <w:proofErr w:type="spellEnd"/>
      <w:r w:rsidR="00E76745" w:rsidRPr="006D6427">
        <w:rPr>
          <w:i/>
          <w:iCs/>
          <w:szCs w:val="22"/>
          <w:lang w:val="fr-FR"/>
        </w:rPr>
        <w:t xml:space="preserve"> </w:t>
      </w:r>
      <w:proofErr w:type="spellStart"/>
      <w:r w:rsidR="00E76745" w:rsidRPr="006D6427">
        <w:rPr>
          <w:i/>
          <w:iCs/>
          <w:szCs w:val="22"/>
          <w:lang w:val="fr-FR"/>
        </w:rPr>
        <w:t>Reverso</w:t>
      </w:r>
      <w:proofErr w:type="spellEnd"/>
      <w:r w:rsidR="00E76745" w:rsidRPr="006D6427">
        <w:rPr>
          <w:i/>
          <w:iCs/>
          <w:szCs w:val="22"/>
          <w:lang w:val="fr-FR"/>
        </w:rPr>
        <w:t xml:space="preserve"> est un modèle culte </w:t>
      </w:r>
      <w:r w:rsidR="00E76745" w:rsidRPr="006D6427">
        <w:rPr>
          <w:szCs w:val="22"/>
          <w:lang w:val="fr-FR"/>
        </w:rPr>
        <w:t>» (Masculin.com, décembre 2024)</w:t>
      </w:r>
    </w:p>
    <w:p w14:paraId="3C36ADAC" w14:textId="7D12B3C0"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Montre culte : la saga de Jaeger-</w:t>
      </w:r>
      <w:proofErr w:type="spellStart"/>
      <w:r w:rsidR="00E76745" w:rsidRPr="006D6427">
        <w:rPr>
          <w:i/>
          <w:iCs/>
          <w:szCs w:val="22"/>
          <w:lang w:val="fr-FR"/>
        </w:rPr>
        <w:t>LeCoultre</w:t>
      </w:r>
      <w:proofErr w:type="spellEnd"/>
      <w:r w:rsidR="00E76745" w:rsidRPr="006D6427">
        <w:rPr>
          <w:i/>
          <w:iCs/>
          <w:szCs w:val="22"/>
          <w:lang w:val="fr-FR"/>
        </w:rPr>
        <w:t xml:space="preserve"> </w:t>
      </w:r>
      <w:proofErr w:type="spellStart"/>
      <w:r w:rsidR="00E76745" w:rsidRPr="006D6427">
        <w:rPr>
          <w:i/>
          <w:iCs/>
          <w:szCs w:val="22"/>
          <w:lang w:val="fr-FR"/>
        </w:rPr>
        <w:t>Reverso</w:t>
      </w:r>
      <w:proofErr w:type="spellEnd"/>
      <w:r w:rsidR="00E76745" w:rsidRPr="006D6427">
        <w:rPr>
          <w:i/>
          <w:iCs/>
          <w:szCs w:val="22"/>
          <w:lang w:val="fr-FR"/>
        </w:rPr>
        <w:t> </w:t>
      </w:r>
      <w:r w:rsidR="00E76745" w:rsidRPr="006D6427">
        <w:rPr>
          <w:szCs w:val="22"/>
          <w:lang w:val="fr-FR"/>
        </w:rPr>
        <w:t xml:space="preserve">» (Homme urbain, juillet 2019) </w:t>
      </w:r>
    </w:p>
    <w:p w14:paraId="18B1840A" w14:textId="21B0D533"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Pourquoi la Jaeger-</w:t>
      </w:r>
      <w:proofErr w:type="spellStart"/>
      <w:r w:rsidR="00E76745" w:rsidRPr="006D6427">
        <w:rPr>
          <w:i/>
          <w:iCs/>
          <w:szCs w:val="22"/>
          <w:lang w:val="fr-FR"/>
        </w:rPr>
        <w:t>LeCoultre</w:t>
      </w:r>
      <w:proofErr w:type="spellEnd"/>
      <w:r w:rsidR="00E76745" w:rsidRPr="006D6427">
        <w:rPr>
          <w:i/>
          <w:iCs/>
          <w:szCs w:val="22"/>
          <w:lang w:val="fr-FR"/>
        </w:rPr>
        <w:t xml:space="preserve"> </w:t>
      </w:r>
      <w:proofErr w:type="spellStart"/>
      <w:r w:rsidR="00E76745" w:rsidRPr="006D6427">
        <w:rPr>
          <w:i/>
          <w:iCs/>
          <w:szCs w:val="22"/>
          <w:lang w:val="fr-FR"/>
        </w:rPr>
        <w:t>Reverso</w:t>
      </w:r>
      <w:proofErr w:type="spellEnd"/>
      <w:r w:rsidR="00E76745" w:rsidRPr="006D6427">
        <w:rPr>
          <w:i/>
          <w:iCs/>
          <w:szCs w:val="22"/>
          <w:lang w:val="fr-FR"/>
        </w:rPr>
        <w:t xml:space="preserve"> est une montre légendaire </w:t>
      </w:r>
      <w:r w:rsidR="00E76745" w:rsidRPr="006D6427">
        <w:rPr>
          <w:szCs w:val="22"/>
          <w:lang w:val="fr-FR"/>
        </w:rPr>
        <w:t>» (GQ, février 2020)</w:t>
      </w:r>
    </w:p>
    <w:p w14:paraId="6D234454" w14:textId="3549F18D"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Depuis 1931, la </w:t>
      </w:r>
      <w:proofErr w:type="spellStart"/>
      <w:r w:rsidR="00E76745" w:rsidRPr="006D6427">
        <w:rPr>
          <w:i/>
          <w:iCs/>
          <w:szCs w:val="22"/>
          <w:lang w:val="fr-FR"/>
        </w:rPr>
        <w:t>Reverso</w:t>
      </w:r>
      <w:proofErr w:type="spellEnd"/>
      <w:r w:rsidR="00E76745" w:rsidRPr="006D6427">
        <w:rPr>
          <w:i/>
          <w:iCs/>
          <w:szCs w:val="22"/>
          <w:lang w:val="fr-FR"/>
        </w:rPr>
        <w:t xml:space="preserve"> est un mythe </w:t>
      </w:r>
      <w:r w:rsidR="00E76745" w:rsidRPr="006D6427">
        <w:rPr>
          <w:szCs w:val="22"/>
          <w:lang w:val="fr-FR"/>
        </w:rPr>
        <w:t xml:space="preserve">» (Montres de luxe, décembre 2015) </w:t>
      </w:r>
    </w:p>
    <w:p w14:paraId="7D013C67" w14:textId="06DB2C15"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Dans les années 1930, la marque a créé le modèle qui deviendra mythique : la célèbre montre </w:t>
      </w:r>
      <w:proofErr w:type="spellStart"/>
      <w:r w:rsidR="00E76745" w:rsidRPr="006D6427">
        <w:rPr>
          <w:i/>
          <w:iCs/>
          <w:szCs w:val="22"/>
          <w:lang w:val="fr-FR"/>
        </w:rPr>
        <w:t>Reverso</w:t>
      </w:r>
      <w:proofErr w:type="spellEnd"/>
      <w:r w:rsidR="00E76745" w:rsidRPr="006D6427">
        <w:rPr>
          <w:i/>
          <w:iCs/>
          <w:szCs w:val="22"/>
          <w:lang w:val="fr-FR"/>
        </w:rPr>
        <w:t>. (…) Face au succès de ce modèle, la Maison Jaeger-</w:t>
      </w:r>
      <w:proofErr w:type="spellStart"/>
      <w:r w:rsidR="00E76745" w:rsidRPr="006D6427">
        <w:rPr>
          <w:i/>
          <w:iCs/>
          <w:szCs w:val="22"/>
          <w:lang w:val="fr-FR"/>
        </w:rPr>
        <w:t>LeCoultre</w:t>
      </w:r>
      <w:proofErr w:type="spellEnd"/>
      <w:r w:rsidR="00E76745" w:rsidRPr="006D6427">
        <w:rPr>
          <w:i/>
          <w:iCs/>
          <w:szCs w:val="22"/>
          <w:lang w:val="fr-FR"/>
        </w:rPr>
        <w:t xml:space="preserve"> a choisi de développer de nombreuses variantes de ce bijou tout en gardant le style Art déco qui a fait son succès </w:t>
      </w:r>
      <w:r w:rsidR="00E76745" w:rsidRPr="006D6427">
        <w:rPr>
          <w:szCs w:val="22"/>
          <w:lang w:val="fr-FR"/>
        </w:rPr>
        <w:t xml:space="preserve">» (Le </w:t>
      </w:r>
      <w:proofErr w:type="spellStart"/>
      <w:r w:rsidR="00E76745" w:rsidRPr="006D6427">
        <w:rPr>
          <w:szCs w:val="22"/>
          <w:lang w:val="fr-FR"/>
        </w:rPr>
        <w:t>mag</w:t>
      </w:r>
      <w:proofErr w:type="spellEnd"/>
      <w:r w:rsidR="00E76745" w:rsidRPr="006D6427">
        <w:rPr>
          <w:szCs w:val="22"/>
          <w:lang w:val="fr-FR"/>
        </w:rPr>
        <w:t xml:space="preserve"> </w:t>
      </w:r>
      <w:proofErr w:type="spellStart"/>
      <w:r w:rsidR="00E76745" w:rsidRPr="006D6427">
        <w:rPr>
          <w:szCs w:val="22"/>
          <w:lang w:val="fr-FR"/>
        </w:rPr>
        <w:t>Cresus</w:t>
      </w:r>
      <w:proofErr w:type="spellEnd"/>
      <w:r w:rsidR="00E76745" w:rsidRPr="006D6427">
        <w:rPr>
          <w:szCs w:val="22"/>
          <w:lang w:val="fr-FR"/>
        </w:rPr>
        <w:t>)</w:t>
      </w:r>
    </w:p>
    <w:p w14:paraId="33773F38" w14:textId="3D529364"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La </w:t>
      </w:r>
      <w:proofErr w:type="spellStart"/>
      <w:r w:rsidR="00E76745" w:rsidRPr="006D6427">
        <w:rPr>
          <w:i/>
          <w:iCs/>
          <w:szCs w:val="22"/>
          <w:lang w:val="fr-FR"/>
        </w:rPr>
        <w:t>Reverso</w:t>
      </w:r>
      <w:proofErr w:type="spellEnd"/>
      <w:r w:rsidR="00E76745" w:rsidRPr="006D6427">
        <w:rPr>
          <w:i/>
          <w:iCs/>
          <w:szCs w:val="22"/>
          <w:lang w:val="fr-FR"/>
        </w:rPr>
        <w:t>, garde-temps mythique. En 1931, l'horloger Jaeger-</w:t>
      </w:r>
      <w:proofErr w:type="spellStart"/>
      <w:r w:rsidR="00E76745" w:rsidRPr="006D6427">
        <w:rPr>
          <w:i/>
          <w:iCs/>
          <w:szCs w:val="22"/>
          <w:lang w:val="fr-FR"/>
        </w:rPr>
        <w:t>LeCoultre</w:t>
      </w:r>
      <w:proofErr w:type="spellEnd"/>
      <w:r w:rsidR="00E76745" w:rsidRPr="006D6427">
        <w:rPr>
          <w:i/>
          <w:iCs/>
          <w:szCs w:val="22"/>
          <w:lang w:val="fr-FR"/>
        </w:rPr>
        <w:t xml:space="preserve"> lançait la </w:t>
      </w:r>
      <w:proofErr w:type="spellStart"/>
      <w:r w:rsidR="00E76745" w:rsidRPr="006D6427">
        <w:rPr>
          <w:i/>
          <w:iCs/>
          <w:szCs w:val="22"/>
          <w:lang w:val="fr-FR"/>
        </w:rPr>
        <w:t>Reverso</w:t>
      </w:r>
      <w:proofErr w:type="spellEnd"/>
      <w:r w:rsidR="00E76745" w:rsidRPr="006D6427">
        <w:rPr>
          <w:i/>
          <w:iCs/>
          <w:szCs w:val="22"/>
          <w:lang w:val="fr-FR"/>
        </w:rPr>
        <w:t>, une montre atypique devenue culte </w:t>
      </w:r>
      <w:r w:rsidR="00E76745" w:rsidRPr="006D6427">
        <w:rPr>
          <w:szCs w:val="22"/>
          <w:lang w:val="fr-FR"/>
        </w:rPr>
        <w:t>» (Le Point juin 2011).</w:t>
      </w:r>
    </w:p>
    <w:p w14:paraId="00C10E4E" w14:textId="24F20FC5"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Le plus grand musée virtuel pour la mythique montre réversible : La </w:t>
      </w:r>
      <w:proofErr w:type="spellStart"/>
      <w:r w:rsidR="00E76745" w:rsidRPr="006D6427">
        <w:rPr>
          <w:i/>
          <w:iCs/>
          <w:szCs w:val="22"/>
          <w:lang w:val="fr-FR"/>
        </w:rPr>
        <w:t>Reverso</w:t>
      </w:r>
      <w:proofErr w:type="spellEnd"/>
      <w:r w:rsidR="00E76745" w:rsidRPr="006D6427">
        <w:rPr>
          <w:i/>
          <w:iCs/>
          <w:szCs w:val="22"/>
          <w:lang w:val="fr-FR"/>
        </w:rPr>
        <w:t xml:space="preserve"> de Jaeger-</w:t>
      </w:r>
      <w:proofErr w:type="spellStart"/>
      <w:r w:rsidR="00E76745" w:rsidRPr="006D6427">
        <w:rPr>
          <w:i/>
          <w:iCs/>
          <w:szCs w:val="22"/>
          <w:lang w:val="fr-FR"/>
        </w:rPr>
        <w:t>LeCoultre</w:t>
      </w:r>
      <w:proofErr w:type="spellEnd"/>
      <w:r w:rsidR="00E76745" w:rsidRPr="006D6427">
        <w:rPr>
          <w:i/>
          <w:iCs/>
          <w:szCs w:val="22"/>
          <w:lang w:val="fr-FR"/>
        </w:rPr>
        <w:t> </w:t>
      </w:r>
      <w:r w:rsidR="00E76745" w:rsidRPr="006D6427">
        <w:rPr>
          <w:szCs w:val="22"/>
          <w:lang w:val="fr-FR"/>
        </w:rPr>
        <w:t>» (Tendance horlogerie, décembre 2010)</w:t>
      </w:r>
    </w:p>
    <w:p w14:paraId="094E7A57" w14:textId="03A330A4"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Jaeger-</w:t>
      </w:r>
      <w:proofErr w:type="spellStart"/>
      <w:r w:rsidR="00E76745" w:rsidRPr="006D6427">
        <w:rPr>
          <w:i/>
          <w:iCs/>
          <w:szCs w:val="22"/>
          <w:lang w:val="fr-FR"/>
        </w:rPr>
        <w:t>LeCoultre</w:t>
      </w:r>
      <w:proofErr w:type="spellEnd"/>
      <w:r w:rsidR="00E76745" w:rsidRPr="006D6427">
        <w:rPr>
          <w:i/>
          <w:iCs/>
          <w:szCs w:val="22"/>
          <w:lang w:val="fr-FR"/>
        </w:rPr>
        <w:t xml:space="preserve"> </w:t>
      </w:r>
      <w:proofErr w:type="spellStart"/>
      <w:r w:rsidR="00E76745" w:rsidRPr="006D6427">
        <w:rPr>
          <w:i/>
          <w:iCs/>
          <w:szCs w:val="22"/>
          <w:lang w:val="fr-FR"/>
        </w:rPr>
        <w:t>Reverso</w:t>
      </w:r>
      <w:proofErr w:type="spellEnd"/>
      <w:r w:rsidR="00E76745" w:rsidRPr="006D6427">
        <w:rPr>
          <w:i/>
          <w:iCs/>
          <w:szCs w:val="22"/>
          <w:lang w:val="fr-FR"/>
        </w:rPr>
        <w:t xml:space="preserve"> : une exposition pour une montre de légende </w:t>
      </w:r>
      <w:proofErr w:type="gramStart"/>
      <w:r w:rsidR="00E76745" w:rsidRPr="006D6427">
        <w:rPr>
          <w:szCs w:val="22"/>
          <w:lang w:val="fr-FR"/>
        </w:rPr>
        <w:t>»«</w:t>
      </w:r>
      <w:proofErr w:type="gramEnd"/>
      <w:r w:rsidR="00E76745" w:rsidRPr="006D6427">
        <w:rPr>
          <w:szCs w:val="22"/>
          <w:lang w:val="fr-FR"/>
        </w:rPr>
        <w:t> </w:t>
      </w:r>
      <w:r w:rsidR="00E76745" w:rsidRPr="006D6427">
        <w:rPr>
          <w:i/>
          <w:iCs/>
          <w:szCs w:val="22"/>
          <w:lang w:val="fr-FR"/>
        </w:rPr>
        <w:t xml:space="preserve">Identifiable entre toutes, la </w:t>
      </w:r>
      <w:proofErr w:type="spellStart"/>
      <w:r w:rsidR="00E76745" w:rsidRPr="006D6427">
        <w:rPr>
          <w:i/>
          <w:iCs/>
          <w:szCs w:val="22"/>
          <w:lang w:val="fr-FR"/>
        </w:rPr>
        <w:t>Reverso</w:t>
      </w:r>
      <w:proofErr w:type="spellEnd"/>
      <w:r w:rsidR="00E76745" w:rsidRPr="006D6427">
        <w:rPr>
          <w:i/>
          <w:iCs/>
          <w:szCs w:val="22"/>
          <w:lang w:val="fr-FR"/>
        </w:rPr>
        <w:t xml:space="preserve"> est lancée en 1931. Véritable montre culte, Jaeger-</w:t>
      </w:r>
      <w:proofErr w:type="spellStart"/>
      <w:r w:rsidR="00E76745" w:rsidRPr="006D6427">
        <w:rPr>
          <w:i/>
          <w:iCs/>
          <w:szCs w:val="22"/>
          <w:lang w:val="fr-FR"/>
        </w:rPr>
        <w:t>LeCoultre</w:t>
      </w:r>
      <w:proofErr w:type="spellEnd"/>
      <w:r w:rsidR="00E76745" w:rsidRPr="006D6427">
        <w:rPr>
          <w:i/>
          <w:iCs/>
          <w:szCs w:val="22"/>
          <w:lang w:val="fr-FR"/>
        </w:rPr>
        <w:t xml:space="preserve"> n'a cessé depuis de la décliner et de la faire évoluer pour le plus grand plaisir des amateurs </w:t>
      </w:r>
      <w:r w:rsidR="00E76745" w:rsidRPr="006D6427">
        <w:rPr>
          <w:szCs w:val="22"/>
          <w:lang w:val="fr-FR"/>
        </w:rPr>
        <w:t>». (Ouest France, The Watch Observer, octobre 2014)</w:t>
      </w:r>
    </w:p>
    <w:p w14:paraId="22B81155" w14:textId="6C5B20FC"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Montres </w:t>
      </w:r>
      <w:proofErr w:type="gramStart"/>
      <w:r w:rsidR="00E76745" w:rsidRPr="006D6427">
        <w:rPr>
          <w:i/>
          <w:iCs/>
          <w:szCs w:val="22"/>
          <w:lang w:val="fr-FR"/>
        </w:rPr>
        <w:t>cultes</w:t>
      </w:r>
      <w:proofErr w:type="gramEnd"/>
      <w:r w:rsidR="00E76745" w:rsidRPr="006D6427">
        <w:rPr>
          <w:i/>
          <w:iCs/>
          <w:szCs w:val="22"/>
          <w:lang w:val="fr-FR"/>
        </w:rPr>
        <w:t xml:space="preserve"> et légendaires </w:t>
      </w:r>
      <w:r w:rsidR="00E76745" w:rsidRPr="006D6427">
        <w:rPr>
          <w:szCs w:val="22"/>
          <w:lang w:val="fr-FR"/>
        </w:rPr>
        <w:t>» « </w:t>
      </w:r>
      <w:r w:rsidR="00E76745" w:rsidRPr="006D6427">
        <w:rPr>
          <w:i/>
          <w:iCs/>
          <w:szCs w:val="22"/>
          <w:lang w:val="fr-FR"/>
        </w:rPr>
        <w:t>Un succès mondial pour une montre hors du commun </w:t>
      </w:r>
      <w:r w:rsidR="00E76745" w:rsidRPr="006D6427">
        <w:rPr>
          <w:szCs w:val="22"/>
          <w:lang w:val="fr-FR"/>
        </w:rPr>
        <w:t>» (Chrono Tempus, février 2022)</w:t>
      </w:r>
    </w:p>
    <w:p w14:paraId="0A7DB1ED" w14:textId="274C27B3"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Jaeger-</w:t>
      </w:r>
      <w:proofErr w:type="spellStart"/>
      <w:r w:rsidR="00E76745" w:rsidRPr="006D6427">
        <w:rPr>
          <w:i/>
          <w:iCs/>
          <w:szCs w:val="22"/>
          <w:lang w:val="fr-FR"/>
        </w:rPr>
        <w:t>LeCoultre</w:t>
      </w:r>
      <w:proofErr w:type="spellEnd"/>
      <w:r w:rsidR="00E76745" w:rsidRPr="006D6427">
        <w:rPr>
          <w:i/>
          <w:iCs/>
          <w:szCs w:val="22"/>
          <w:lang w:val="fr-FR"/>
        </w:rPr>
        <w:t xml:space="preserve"> </w:t>
      </w:r>
      <w:proofErr w:type="spellStart"/>
      <w:r w:rsidR="00E76745" w:rsidRPr="006D6427">
        <w:rPr>
          <w:i/>
          <w:iCs/>
          <w:szCs w:val="22"/>
          <w:lang w:val="fr-FR"/>
        </w:rPr>
        <w:t>Reverso</w:t>
      </w:r>
      <w:proofErr w:type="spellEnd"/>
      <w:r w:rsidR="00E76745" w:rsidRPr="006D6427">
        <w:rPr>
          <w:i/>
          <w:iCs/>
          <w:szCs w:val="22"/>
          <w:lang w:val="fr-FR"/>
        </w:rPr>
        <w:t>, une montre légendaire </w:t>
      </w:r>
      <w:r w:rsidR="00E76745" w:rsidRPr="006D6427">
        <w:rPr>
          <w:szCs w:val="22"/>
          <w:lang w:val="fr-FR"/>
        </w:rPr>
        <w:t xml:space="preserve">» (VH Magazine, février 2020), </w:t>
      </w:r>
    </w:p>
    <w:p w14:paraId="131F8A3C" w14:textId="299AA06B"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À l’occasion des 90 ans de l’emblématique </w:t>
      </w:r>
      <w:proofErr w:type="spellStart"/>
      <w:r w:rsidR="00E76745" w:rsidRPr="006D6427">
        <w:rPr>
          <w:i/>
          <w:iCs/>
          <w:szCs w:val="22"/>
          <w:lang w:val="fr-FR"/>
        </w:rPr>
        <w:t>Reverso</w:t>
      </w:r>
      <w:proofErr w:type="spellEnd"/>
      <w:r w:rsidR="00E76745" w:rsidRPr="006D6427">
        <w:rPr>
          <w:i/>
          <w:iCs/>
          <w:szCs w:val="22"/>
          <w:lang w:val="fr-FR"/>
        </w:rPr>
        <w:t xml:space="preserve"> créée en 1931 </w:t>
      </w:r>
      <w:r w:rsidR="00E76745" w:rsidRPr="006D6427">
        <w:rPr>
          <w:szCs w:val="22"/>
          <w:lang w:val="fr-FR"/>
        </w:rPr>
        <w:t>» (…) « </w:t>
      </w:r>
      <w:r w:rsidR="00E76745" w:rsidRPr="006D6427">
        <w:rPr>
          <w:i/>
          <w:iCs/>
          <w:szCs w:val="22"/>
          <w:lang w:val="fr-FR"/>
        </w:rPr>
        <w:t>l’une des plus belles légendes de l’industrie horlogère </w:t>
      </w:r>
      <w:r w:rsidR="00E76745" w:rsidRPr="006D6427">
        <w:rPr>
          <w:szCs w:val="22"/>
          <w:lang w:val="fr-FR"/>
        </w:rPr>
        <w:t>» (…) « </w:t>
      </w:r>
      <w:r w:rsidR="00E76745" w:rsidRPr="006D6427">
        <w:rPr>
          <w:i/>
          <w:iCs/>
          <w:szCs w:val="22"/>
          <w:lang w:val="fr-FR"/>
        </w:rPr>
        <w:t>l’une des montres les plus reconnaissables au monde </w:t>
      </w:r>
      <w:r w:rsidR="00E76745" w:rsidRPr="006D6427">
        <w:rPr>
          <w:szCs w:val="22"/>
          <w:lang w:val="fr-FR"/>
        </w:rPr>
        <w:t>» (…) « </w:t>
      </w:r>
      <w:r w:rsidR="00E76745" w:rsidRPr="006D6427">
        <w:rPr>
          <w:i/>
          <w:iCs/>
          <w:szCs w:val="22"/>
          <w:lang w:val="fr-FR"/>
        </w:rPr>
        <w:t>icône d’une longévité exceptionnelle </w:t>
      </w:r>
      <w:r w:rsidR="00E76745" w:rsidRPr="006D6427">
        <w:rPr>
          <w:szCs w:val="22"/>
          <w:lang w:val="fr-FR"/>
        </w:rPr>
        <w:t>» (…) « </w:t>
      </w:r>
      <w:r w:rsidR="00E76745" w:rsidRPr="006D6427">
        <w:rPr>
          <w:i/>
          <w:iCs/>
          <w:szCs w:val="22"/>
          <w:lang w:val="fr-FR"/>
        </w:rPr>
        <w:t>objet culte du design contemporain </w:t>
      </w:r>
      <w:r w:rsidR="00E76745" w:rsidRPr="006D6427">
        <w:rPr>
          <w:szCs w:val="22"/>
          <w:lang w:val="fr-FR"/>
        </w:rPr>
        <w:t>» (L’Officiel, octobre 2021).</w:t>
      </w:r>
    </w:p>
    <w:p w14:paraId="3C06D350" w14:textId="2B7B357B"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Montres iconiques : Jaeger-</w:t>
      </w:r>
      <w:proofErr w:type="spellStart"/>
      <w:r w:rsidR="00E76745" w:rsidRPr="006D6427">
        <w:rPr>
          <w:i/>
          <w:iCs/>
          <w:szCs w:val="22"/>
          <w:lang w:val="fr-FR"/>
        </w:rPr>
        <w:t>LeCoultre</w:t>
      </w:r>
      <w:proofErr w:type="spellEnd"/>
      <w:r w:rsidR="00E76745" w:rsidRPr="006D6427">
        <w:rPr>
          <w:i/>
          <w:iCs/>
          <w:szCs w:val="22"/>
          <w:lang w:val="fr-FR"/>
        </w:rPr>
        <w:t xml:space="preserve"> </w:t>
      </w:r>
      <w:proofErr w:type="spellStart"/>
      <w:r w:rsidR="00E76745" w:rsidRPr="006D6427">
        <w:rPr>
          <w:i/>
          <w:iCs/>
          <w:szCs w:val="22"/>
          <w:lang w:val="fr-FR"/>
        </w:rPr>
        <w:t>Reverso</w:t>
      </w:r>
      <w:proofErr w:type="spellEnd"/>
      <w:r w:rsidR="00E76745" w:rsidRPr="006D6427">
        <w:rPr>
          <w:i/>
          <w:iCs/>
          <w:szCs w:val="22"/>
          <w:lang w:val="fr-FR"/>
        </w:rPr>
        <w:t> </w:t>
      </w:r>
      <w:r w:rsidR="00E76745" w:rsidRPr="006D6427">
        <w:rPr>
          <w:szCs w:val="22"/>
          <w:lang w:val="fr-FR"/>
        </w:rPr>
        <w:t>» (</w:t>
      </w:r>
      <w:proofErr w:type="spellStart"/>
      <w:r w:rsidR="00E76745" w:rsidRPr="006D6427">
        <w:rPr>
          <w:szCs w:val="22"/>
          <w:lang w:val="fr-FR"/>
        </w:rPr>
        <w:t>Montredo</w:t>
      </w:r>
      <w:proofErr w:type="spellEnd"/>
      <w:r w:rsidR="00E76745" w:rsidRPr="006D6427">
        <w:rPr>
          <w:szCs w:val="22"/>
          <w:lang w:val="fr-FR"/>
        </w:rPr>
        <w:t xml:space="preserve">, août 2020) </w:t>
      </w:r>
    </w:p>
    <w:p w14:paraId="6CE56609" w14:textId="63784577"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proofErr w:type="spellStart"/>
      <w:r w:rsidR="00E76745" w:rsidRPr="006D6427">
        <w:rPr>
          <w:i/>
          <w:iCs/>
          <w:szCs w:val="22"/>
          <w:lang w:val="fr-FR"/>
        </w:rPr>
        <w:t>Reverso</w:t>
      </w:r>
      <w:proofErr w:type="spellEnd"/>
      <w:r w:rsidR="00E76745" w:rsidRPr="006D6427">
        <w:rPr>
          <w:i/>
          <w:iCs/>
          <w:szCs w:val="22"/>
          <w:lang w:val="fr-FR"/>
        </w:rPr>
        <w:t>, une légende en mouvement </w:t>
      </w:r>
      <w:r w:rsidR="00E76745" w:rsidRPr="006D6427">
        <w:rPr>
          <w:szCs w:val="22"/>
          <w:lang w:val="fr-FR"/>
        </w:rPr>
        <w:t>» (…) « </w:t>
      </w:r>
      <w:r w:rsidR="00E76745" w:rsidRPr="006D6427">
        <w:rPr>
          <w:i/>
          <w:iCs/>
          <w:szCs w:val="22"/>
          <w:lang w:val="fr-FR"/>
        </w:rPr>
        <w:t>Le succès d’un style classique intemporel </w:t>
      </w:r>
      <w:r w:rsidR="00E76745" w:rsidRPr="006D6427">
        <w:rPr>
          <w:szCs w:val="22"/>
          <w:lang w:val="fr-FR"/>
        </w:rPr>
        <w:t>» (</w:t>
      </w:r>
      <w:proofErr w:type="spellStart"/>
      <w:r w:rsidR="00E76745" w:rsidRPr="006D6427">
        <w:rPr>
          <w:szCs w:val="22"/>
          <w:lang w:val="fr-FR"/>
        </w:rPr>
        <w:t>MyWatch</w:t>
      </w:r>
      <w:proofErr w:type="spellEnd"/>
      <w:r w:rsidR="00E76745" w:rsidRPr="006D6427">
        <w:rPr>
          <w:szCs w:val="22"/>
          <w:lang w:val="fr-FR"/>
        </w:rPr>
        <w:t xml:space="preserve">, décembre 2010) </w:t>
      </w:r>
    </w:p>
    <w:p w14:paraId="378851D2" w14:textId="0BACF2CC"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Jaeger </w:t>
      </w:r>
      <w:proofErr w:type="spellStart"/>
      <w:r w:rsidR="00E76745" w:rsidRPr="006D6427">
        <w:rPr>
          <w:i/>
          <w:iCs/>
          <w:szCs w:val="22"/>
          <w:lang w:val="fr-FR"/>
        </w:rPr>
        <w:t>LeCoultre</w:t>
      </w:r>
      <w:proofErr w:type="spellEnd"/>
      <w:r w:rsidR="00E76745" w:rsidRPr="006D6427">
        <w:rPr>
          <w:i/>
          <w:iCs/>
          <w:szCs w:val="22"/>
          <w:lang w:val="fr-FR"/>
        </w:rPr>
        <w:t xml:space="preserve"> revisite son emblématique modèle </w:t>
      </w:r>
      <w:proofErr w:type="spellStart"/>
      <w:r w:rsidR="00E76745" w:rsidRPr="006D6427">
        <w:rPr>
          <w:i/>
          <w:iCs/>
          <w:szCs w:val="22"/>
          <w:lang w:val="fr-FR"/>
        </w:rPr>
        <w:t>Reverso</w:t>
      </w:r>
      <w:proofErr w:type="spellEnd"/>
      <w:r w:rsidR="00E76745" w:rsidRPr="006D6427">
        <w:rPr>
          <w:i/>
          <w:iCs/>
          <w:szCs w:val="22"/>
          <w:lang w:val="fr-FR"/>
        </w:rPr>
        <w:t xml:space="preserve">. Le premier </w:t>
      </w:r>
      <w:proofErr w:type="spellStart"/>
      <w:r w:rsidR="00E76745" w:rsidRPr="006D6427">
        <w:rPr>
          <w:i/>
          <w:iCs/>
          <w:szCs w:val="22"/>
          <w:lang w:val="fr-FR"/>
        </w:rPr>
        <w:t>gardetemps</w:t>
      </w:r>
      <w:proofErr w:type="spellEnd"/>
      <w:r w:rsidR="00E76745" w:rsidRPr="006D6427">
        <w:rPr>
          <w:i/>
          <w:iCs/>
          <w:szCs w:val="22"/>
          <w:lang w:val="fr-FR"/>
        </w:rPr>
        <w:t xml:space="preserve"> au cadran pivotant qui a fait la renommée de la Maison d’horlogerie suisse </w:t>
      </w:r>
      <w:r w:rsidR="00E76745" w:rsidRPr="006D6427">
        <w:rPr>
          <w:szCs w:val="22"/>
          <w:lang w:val="fr-FR"/>
        </w:rPr>
        <w:t>» (…) « </w:t>
      </w:r>
      <w:r w:rsidR="00E76745" w:rsidRPr="006D6427">
        <w:rPr>
          <w:i/>
          <w:iCs/>
          <w:szCs w:val="22"/>
          <w:lang w:val="fr-FR"/>
        </w:rPr>
        <w:t xml:space="preserve">Jaeger </w:t>
      </w:r>
      <w:proofErr w:type="spellStart"/>
      <w:r w:rsidR="00E76745" w:rsidRPr="006D6427">
        <w:rPr>
          <w:i/>
          <w:iCs/>
          <w:szCs w:val="22"/>
          <w:lang w:val="fr-FR"/>
        </w:rPr>
        <w:lastRenderedPageBreak/>
        <w:t>LeCoultre</w:t>
      </w:r>
      <w:proofErr w:type="spellEnd"/>
      <w:r w:rsidR="00E76745" w:rsidRPr="006D6427">
        <w:rPr>
          <w:i/>
          <w:iCs/>
          <w:szCs w:val="22"/>
          <w:lang w:val="fr-FR"/>
        </w:rPr>
        <w:t xml:space="preserve"> a décidé de proposer neuf nouvelles déclinaisons de son iconique montre </w:t>
      </w:r>
      <w:proofErr w:type="spellStart"/>
      <w:r w:rsidR="00E76745" w:rsidRPr="006D6427">
        <w:rPr>
          <w:i/>
          <w:iCs/>
          <w:szCs w:val="22"/>
          <w:lang w:val="fr-FR"/>
        </w:rPr>
        <w:t>Reverso</w:t>
      </w:r>
      <w:proofErr w:type="spellEnd"/>
      <w:r w:rsidR="00E76745" w:rsidRPr="006D6427">
        <w:rPr>
          <w:i/>
          <w:iCs/>
          <w:szCs w:val="22"/>
          <w:lang w:val="fr-FR"/>
        </w:rPr>
        <w:t>, née il y a 94 ans </w:t>
      </w:r>
      <w:r w:rsidR="00E76745" w:rsidRPr="006D6427">
        <w:rPr>
          <w:szCs w:val="22"/>
          <w:lang w:val="fr-FR"/>
        </w:rPr>
        <w:t>» (</w:t>
      </w:r>
      <w:proofErr w:type="spellStart"/>
      <w:r w:rsidR="00E76745" w:rsidRPr="006D6427">
        <w:rPr>
          <w:szCs w:val="22"/>
          <w:lang w:val="fr-FR"/>
        </w:rPr>
        <w:t>Luxus</w:t>
      </w:r>
      <w:proofErr w:type="spellEnd"/>
      <w:r w:rsidR="00E76745" w:rsidRPr="006D6427">
        <w:rPr>
          <w:szCs w:val="22"/>
          <w:lang w:val="fr-FR"/>
        </w:rPr>
        <w:t xml:space="preserve">-plus, avril 2025) </w:t>
      </w:r>
    </w:p>
    <w:p w14:paraId="03B7A428" w14:textId="74D341FC"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proofErr w:type="spellStart"/>
      <w:r w:rsidR="00E76745" w:rsidRPr="006D6427">
        <w:rPr>
          <w:i/>
          <w:iCs/>
          <w:szCs w:val="22"/>
          <w:lang w:val="fr-FR"/>
        </w:rPr>
        <w:t>Reverso</w:t>
      </w:r>
      <w:proofErr w:type="spellEnd"/>
      <w:r w:rsidR="00E76745" w:rsidRPr="006D6427">
        <w:rPr>
          <w:i/>
          <w:iCs/>
          <w:szCs w:val="22"/>
          <w:lang w:val="fr-FR"/>
        </w:rPr>
        <w:t xml:space="preserve"> : Chronologie d’une montre de légende </w:t>
      </w:r>
      <w:r w:rsidR="00E76745" w:rsidRPr="006D6427">
        <w:rPr>
          <w:szCs w:val="22"/>
          <w:lang w:val="fr-FR"/>
        </w:rPr>
        <w:t>» (…) « </w:t>
      </w:r>
      <w:r w:rsidR="00E76745" w:rsidRPr="006D6427">
        <w:rPr>
          <w:i/>
          <w:iCs/>
          <w:szCs w:val="22"/>
          <w:lang w:val="fr-FR"/>
        </w:rPr>
        <w:t>Rares sont les marques qui peuvent se vanter d’avoir donné naissance à un modèle mythique dont la notoriété mondiale survole les générations </w:t>
      </w:r>
      <w:r w:rsidR="00E76745" w:rsidRPr="006D6427">
        <w:rPr>
          <w:szCs w:val="22"/>
          <w:lang w:val="fr-FR"/>
        </w:rPr>
        <w:t>» (Luxe Magazine, mai 2005)</w:t>
      </w:r>
    </w:p>
    <w:p w14:paraId="37215538" w14:textId="3B51F0D7"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La </w:t>
      </w:r>
      <w:proofErr w:type="spellStart"/>
      <w:r w:rsidR="00E76745" w:rsidRPr="006D6427">
        <w:rPr>
          <w:i/>
          <w:iCs/>
          <w:szCs w:val="22"/>
          <w:lang w:val="fr-FR"/>
        </w:rPr>
        <w:t>Reverso</w:t>
      </w:r>
      <w:proofErr w:type="spellEnd"/>
      <w:r w:rsidR="00E76745" w:rsidRPr="006D6427">
        <w:rPr>
          <w:i/>
          <w:iCs/>
          <w:szCs w:val="22"/>
          <w:lang w:val="fr-FR"/>
        </w:rPr>
        <w:t xml:space="preserve"> de Jaeger Le </w:t>
      </w:r>
      <w:proofErr w:type="spellStart"/>
      <w:r w:rsidR="00E76745" w:rsidRPr="006D6427">
        <w:rPr>
          <w:i/>
          <w:iCs/>
          <w:szCs w:val="22"/>
          <w:lang w:val="fr-FR"/>
        </w:rPr>
        <w:t>Coultre</w:t>
      </w:r>
      <w:proofErr w:type="spellEnd"/>
      <w:r w:rsidR="00E76745" w:rsidRPr="006D6427">
        <w:rPr>
          <w:i/>
          <w:iCs/>
          <w:szCs w:val="22"/>
          <w:lang w:val="fr-FR"/>
        </w:rPr>
        <w:t xml:space="preserve"> (…) Que des montres de légende ! </w:t>
      </w:r>
      <w:r w:rsidR="00E76745" w:rsidRPr="006D6427">
        <w:rPr>
          <w:szCs w:val="22"/>
          <w:lang w:val="fr-FR"/>
        </w:rPr>
        <w:t>» (…) « </w:t>
      </w:r>
      <w:r w:rsidR="00E76745" w:rsidRPr="006D6427">
        <w:rPr>
          <w:i/>
          <w:iCs/>
          <w:szCs w:val="22"/>
          <w:lang w:val="fr-FR"/>
        </w:rPr>
        <w:t xml:space="preserve">Une légende, une vraie, que cette </w:t>
      </w:r>
      <w:proofErr w:type="spellStart"/>
      <w:r w:rsidR="00E76745" w:rsidRPr="006D6427">
        <w:rPr>
          <w:i/>
          <w:iCs/>
          <w:szCs w:val="22"/>
          <w:lang w:val="fr-FR"/>
        </w:rPr>
        <w:t>Reverso</w:t>
      </w:r>
      <w:proofErr w:type="spellEnd"/>
      <w:r w:rsidR="00E76745" w:rsidRPr="006D6427">
        <w:rPr>
          <w:i/>
          <w:iCs/>
          <w:szCs w:val="22"/>
          <w:lang w:val="fr-FR"/>
        </w:rPr>
        <w:t xml:space="preserve"> née en 1931 dans la vallée de Joux, en Suisse </w:t>
      </w:r>
      <w:r w:rsidR="00E76745" w:rsidRPr="006D6427">
        <w:rPr>
          <w:szCs w:val="22"/>
          <w:lang w:val="fr-FR"/>
        </w:rPr>
        <w:t xml:space="preserve">» (Nouvel </w:t>
      </w:r>
      <w:proofErr w:type="spellStart"/>
      <w:r w:rsidR="00E76745" w:rsidRPr="006D6427">
        <w:rPr>
          <w:szCs w:val="22"/>
          <w:lang w:val="fr-FR"/>
        </w:rPr>
        <w:t>obs</w:t>
      </w:r>
      <w:proofErr w:type="spellEnd"/>
      <w:r w:rsidR="00E76745" w:rsidRPr="006D6427">
        <w:rPr>
          <w:szCs w:val="22"/>
          <w:lang w:val="fr-FR"/>
        </w:rPr>
        <w:t>, novembre 2024)</w:t>
      </w:r>
    </w:p>
    <w:p w14:paraId="14CF1226" w14:textId="6BF3C17D"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Pour les 90 ans de sa montre culte, la </w:t>
      </w:r>
      <w:proofErr w:type="spellStart"/>
      <w:r w:rsidR="00E76745" w:rsidRPr="006D6427">
        <w:rPr>
          <w:i/>
          <w:iCs/>
          <w:szCs w:val="22"/>
          <w:lang w:val="fr-FR"/>
        </w:rPr>
        <w:t>Reverso</w:t>
      </w:r>
      <w:proofErr w:type="spellEnd"/>
      <w:r w:rsidR="00E76745" w:rsidRPr="006D6427">
        <w:rPr>
          <w:i/>
          <w:iCs/>
          <w:szCs w:val="22"/>
          <w:lang w:val="fr-FR"/>
        </w:rPr>
        <w:t xml:space="preserve"> </w:t>
      </w:r>
      <w:r w:rsidR="00E76745" w:rsidRPr="006D6427">
        <w:rPr>
          <w:szCs w:val="22"/>
          <w:lang w:val="fr-FR"/>
        </w:rPr>
        <w:t>(…) » France Beaux-Arts, novembre 2021</w:t>
      </w:r>
    </w:p>
    <w:p w14:paraId="66F7F63F" w14:textId="7483BD5D"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Son esthétique d'un classicisme absolu signe un retour aux origines réussi pour une des montres les plus admirées de l'histoire de l’horlogerie </w:t>
      </w:r>
      <w:r w:rsidR="00E76745" w:rsidRPr="006D6427">
        <w:rPr>
          <w:szCs w:val="22"/>
          <w:lang w:val="fr-FR"/>
        </w:rPr>
        <w:t>» France Challenges Octobre 2024.</w:t>
      </w:r>
    </w:p>
    <w:p w14:paraId="51AEC2CD" w14:textId="7AF45D45"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L’</w:t>
      </w:r>
      <w:proofErr w:type="spellStart"/>
      <w:r w:rsidR="00E76745" w:rsidRPr="006D6427">
        <w:rPr>
          <w:i/>
          <w:iCs/>
          <w:szCs w:val="22"/>
          <w:lang w:val="fr-FR"/>
        </w:rPr>
        <w:t>icone</w:t>
      </w:r>
      <w:proofErr w:type="spellEnd"/>
      <w:r w:rsidR="00E76745" w:rsidRPr="006D6427">
        <w:rPr>
          <w:i/>
          <w:iCs/>
          <w:szCs w:val="22"/>
          <w:lang w:val="fr-FR"/>
        </w:rPr>
        <w:t xml:space="preserve"> revisitée » (…) « la cultissime </w:t>
      </w:r>
      <w:proofErr w:type="spellStart"/>
      <w:r w:rsidR="00E76745" w:rsidRPr="006D6427">
        <w:rPr>
          <w:i/>
          <w:iCs/>
          <w:szCs w:val="22"/>
          <w:lang w:val="fr-FR"/>
        </w:rPr>
        <w:t>Reverso</w:t>
      </w:r>
      <w:proofErr w:type="spellEnd"/>
      <w:r w:rsidR="00E76745" w:rsidRPr="006D6427">
        <w:rPr>
          <w:i/>
          <w:iCs/>
          <w:szCs w:val="22"/>
          <w:lang w:val="fr-FR"/>
        </w:rPr>
        <w:t xml:space="preserve"> de Jaeger-</w:t>
      </w:r>
      <w:proofErr w:type="spellStart"/>
      <w:r w:rsidR="00E76745" w:rsidRPr="006D6427">
        <w:rPr>
          <w:i/>
          <w:iCs/>
          <w:szCs w:val="22"/>
          <w:lang w:val="fr-FR"/>
        </w:rPr>
        <w:t>LeCoultre</w:t>
      </w:r>
      <w:proofErr w:type="spellEnd"/>
      <w:r w:rsidR="00E76745" w:rsidRPr="006D6427">
        <w:rPr>
          <w:i/>
          <w:iCs/>
          <w:szCs w:val="22"/>
          <w:lang w:val="fr-FR"/>
        </w:rPr>
        <w:t xml:space="preserve"> a encore fait parler d’elle </w:t>
      </w:r>
      <w:r w:rsidR="00E76745" w:rsidRPr="006D6427">
        <w:rPr>
          <w:szCs w:val="22"/>
          <w:lang w:val="fr-FR"/>
        </w:rPr>
        <w:t>» France City Magazine, juin 2023</w:t>
      </w:r>
    </w:p>
    <w:p w14:paraId="38740C3D" w14:textId="4D4DA6B5"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Sa célèbre </w:t>
      </w:r>
      <w:proofErr w:type="spellStart"/>
      <w:r w:rsidR="00E76745" w:rsidRPr="006D6427">
        <w:rPr>
          <w:i/>
          <w:iCs/>
          <w:szCs w:val="22"/>
          <w:lang w:val="fr-FR"/>
        </w:rPr>
        <w:t>Reverso</w:t>
      </w:r>
      <w:proofErr w:type="spellEnd"/>
      <w:r w:rsidR="00E76745" w:rsidRPr="006D6427">
        <w:rPr>
          <w:i/>
          <w:iCs/>
          <w:szCs w:val="22"/>
          <w:lang w:val="fr-FR"/>
        </w:rPr>
        <w:t xml:space="preserve"> quitte, pour l'occasion, le poignet pour s'approprier le décolleté </w:t>
      </w:r>
      <w:r w:rsidR="00E76745" w:rsidRPr="006D6427">
        <w:rPr>
          <w:szCs w:val="22"/>
          <w:lang w:val="fr-FR"/>
        </w:rPr>
        <w:t>» France Décideurs, mai 2023</w:t>
      </w:r>
    </w:p>
    <w:p w14:paraId="57064ADD" w14:textId="29540CB8"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Un autre exemple de recherche de l'épure horlogère entre en scène en 1931. Il s'agit de l'inimitable </w:t>
      </w:r>
      <w:proofErr w:type="spellStart"/>
      <w:r w:rsidR="00E76745" w:rsidRPr="006D6427">
        <w:rPr>
          <w:i/>
          <w:iCs/>
          <w:szCs w:val="22"/>
          <w:lang w:val="fr-FR"/>
        </w:rPr>
        <w:t>Reverso</w:t>
      </w:r>
      <w:proofErr w:type="spellEnd"/>
      <w:r w:rsidR="00E76745" w:rsidRPr="006D6427">
        <w:rPr>
          <w:i/>
          <w:iCs/>
          <w:szCs w:val="22"/>
          <w:lang w:val="fr-FR"/>
        </w:rPr>
        <w:t xml:space="preserve"> de Jaeger-</w:t>
      </w:r>
      <w:proofErr w:type="spellStart"/>
      <w:r w:rsidR="00E76745" w:rsidRPr="006D6427">
        <w:rPr>
          <w:i/>
          <w:iCs/>
          <w:szCs w:val="22"/>
          <w:lang w:val="fr-FR"/>
        </w:rPr>
        <w:t>LeCoultre</w:t>
      </w:r>
      <w:proofErr w:type="spellEnd"/>
      <w:r w:rsidR="00E76745" w:rsidRPr="006D6427">
        <w:rPr>
          <w:i/>
          <w:iCs/>
          <w:szCs w:val="22"/>
          <w:lang w:val="fr-FR"/>
        </w:rPr>
        <w:t xml:space="preserve"> (…) Une légende est née, sa longévité est exceptionnelle et sa modernité immuable </w:t>
      </w:r>
      <w:r w:rsidR="00E76745" w:rsidRPr="006D6427">
        <w:rPr>
          <w:szCs w:val="22"/>
          <w:lang w:val="fr-FR"/>
        </w:rPr>
        <w:t>» France décideurs, septembre 2023</w:t>
      </w:r>
    </w:p>
    <w:p w14:paraId="2772DDCC" w14:textId="64776F3B"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Cultes depuis toujours </w:t>
      </w:r>
      <w:r w:rsidR="00E76745" w:rsidRPr="006D6427">
        <w:rPr>
          <w:szCs w:val="22"/>
          <w:lang w:val="fr-FR"/>
        </w:rPr>
        <w:t>» un article du JD News paru en mars 2025 classe la montre REVERSO parmi les 8 « </w:t>
      </w:r>
      <w:r w:rsidR="00E76745" w:rsidRPr="006D6427">
        <w:rPr>
          <w:i/>
          <w:iCs/>
          <w:szCs w:val="22"/>
          <w:lang w:val="fr-FR"/>
        </w:rPr>
        <w:t>montres les plus célèbres de la planète horlogère </w:t>
      </w:r>
      <w:r w:rsidR="00E76745" w:rsidRPr="006D6427">
        <w:rPr>
          <w:szCs w:val="22"/>
          <w:lang w:val="fr-FR"/>
        </w:rPr>
        <w:t xml:space="preserve">» </w:t>
      </w:r>
    </w:p>
    <w:p w14:paraId="7CB3A8F5" w14:textId="5E7A5EE9"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Et l’on peut se demander combien de montres, dans toute l’histoire de l’horlogerie, portent en elles un tel potentiel émotionnel (…) Mais au-delà de cette capacité à arborer une ornementation sur le dos de son boîtier pivotant, la </w:t>
      </w:r>
      <w:proofErr w:type="spellStart"/>
      <w:r w:rsidR="00E76745" w:rsidRPr="006D6427">
        <w:rPr>
          <w:i/>
          <w:iCs/>
          <w:szCs w:val="22"/>
          <w:lang w:val="fr-FR"/>
        </w:rPr>
        <w:t>Reverso</w:t>
      </w:r>
      <w:proofErr w:type="spellEnd"/>
      <w:r w:rsidR="00E76745" w:rsidRPr="006D6427">
        <w:rPr>
          <w:i/>
          <w:iCs/>
          <w:szCs w:val="22"/>
          <w:lang w:val="fr-FR"/>
        </w:rPr>
        <w:t xml:space="preserve"> s'est affirmée au fil des décennies comme l’une des montres les plus adulées au monde </w:t>
      </w:r>
      <w:r w:rsidR="00E76745" w:rsidRPr="006D6427">
        <w:rPr>
          <w:szCs w:val="22"/>
          <w:lang w:val="fr-FR"/>
        </w:rPr>
        <w:t xml:space="preserve">» France Citizen K International </w:t>
      </w:r>
      <w:proofErr w:type="spellStart"/>
      <w:r w:rsidR="00E76745" w:rsidRPr="006D6427">
        <w:rPr>
          <w:szCs w:val="22"/>
          <w:lang w:val="fr-FR"/>
        </w:rPr>
        <w:t>Spec</w:t>
      </w:r>
      <w:proofErr w:type="spellEnd"/>
      <w:r w:rsidR="00E76745" w:rsidRPr="006D6427">
        <w:rPr>
          <w:szCs w:val="22"/>
          <w:lang w:val="fr-FR"/>
        </w:rPr>
        <w:t>. Homme 01-Oct-21.</w:t>
      </w:r>
    </w:p>
    <w:p w14:paraId="1365B4A5" w14:textId="1A3E5F88"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REVERSO : HOMMAGE À UNE LÉGENDE </w:t>
      </w:r>
      <w:r w:rsidR="00E76745" w:rsidRPr="006D6427">
        <w:rPr>
          <w:szCs w:val="22"/>
          <w:lang w:val="fr-FR"/>
        </w:rPr>
        <w:t>» (…) « </w:t>
      </w:r>
      <w:r w:rsidR="00E76745" w:rsidRPr="006D6427">
        <w:rPr>
          <w:i/>
          <w:iCs/>
          <w:szCs w:val="22"/>
          <w:lang w:val="fr-FR"/>
        </w:rPr>
        <w:t xml:space="preserve">A l’occasion des 90 ans de la </w:t>
      </w:r>
      <w:proofErr w:type="spellStart"/>
      <w:r w:rsidR="00E76745" w:rsidRPr="006D6427">
        <w:rPr>
          <w:i/>
          <w:iCs/>
          <w:szCs w:val="22"/>
          <w:lang w:val="fr-FR"/>
        </w:rPr>
        <w:t>Reverso</w:t>
      </w:r>
      <w:proofErr w:type="spellEnd"/>
      <w:r w:rsidR="00E76745" w:rsidRPr="006D6427">
        <w:rPr>
          <w:i/>
          <w:iCs/>
          <w:szCs w:val="22"/>
          <w:lang w:val="fr-FR"/>
        </w:rPr>
        <w:t xml:space="preserve">, </w:t>
      </w:r>
      <w:proofErr w:type="spellStart"/>
      <w:r w:rsidR="00E76745" w:rsidRPr="006D6427">
        <w:rPr>
          <w:i/>
          <w:iCs/>
          <w:szCs w:val="22"/>
          <w:lang w:val="fr-FR"/>
        </w:rPr>
        <w:t>I’éditeur</w:t>
      </w:r>
      <w:proofErr w:type="spellEnd"/>
      <w:r w:rsidR="00E76745" w:rsidRPr="006D6427">
        <w:rPr>
          <w:i/>
          <w:iCs/>
          <w:szCs w:val="22"/>
          <w:lang w:val="fr-FR"/>
        </w:rPr>
        <w:t xml:space="preserve"> parisien nous offre le livre le plus luxueux et le plus complet jamais consacré à l'une des montres les plus célèbres du monde </w:t>
      </w:r>
      <w:r w:rsidR="00E76745" w:rsidRPr="006D6427">
        <w:rPr>
          <w:szCs w:val="22"/>
          <w:lang w:val="fr-FR"/>
        </w:rPr>
        <w:t xml:space="preserve">» Dandy 01-Jun-21 </w:t>
      </w:r>
    </w:p>
    <w:p w14:paraId="3FCFD850" w14:textId="16B082EF"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L’illustre maison célèbre cette année les 90 ans de sa mythique montre </w:t>
      </w:r>
      <w:proofErr w:type="spellStart"/>
      <w:r w:rsidR="00E76745" w:rsidRPr="006D6427">
        <w:rPr>
          <w:i/>
          <w:iCs/>
          <w:szCs w:val="22"/>
          <w:lang w:val="fr-FR"/>
        </w:rPr>
        <w:t>Reverso</w:t>
      </w:r>
      <w:proofErr w:type="spellEnd"/>
      <w:r w:rsidR="00E76745" w:rsidRPr="006D6427">
        <w:rPr>
          <w:i/>
          <w:iCs/>
          <w:szCs w:val="22"/>
          <w:lang w:val="fr-FR"/>
        </w:rPr>
        <w:t> </w:t>
      </w:r>
      <w:r w:rsidR="00E76745" w:rsidRPr="006D6427">
        <w:rPr>
          <w:szCs w:val="22"/>
          <w:lang w:val="fr-FR"/>
        </w:rPr>
        <w:t xml:space="preserve">» </w:t>
      </w:r>
      <w:proofErr w:type="spellStart"/>
      <w:r w:rsidR="00E76745" w:rsidRPr="006D6427">
        <w:rPr>
          <w:szCs w:val="22"/>
          <w:lang w:val="fr-FR"/>
        </w:rPr>
        <w:t>Decideurs</w:t>
      </w:r>
      <w:proofErr w:type="spellEnd"/>
      <w:r w:rsidR="00E76745" w:rsidRPr="006D6427">
        <w:rPr>
          <w:szCs w:val="22"/>
          <w:lang w:val="fr-FR"/>
        </w:rPr>
        <w:t xml:space="preserve"> Magazine 01-Dec-21 P56</w:t>
      </w:r>
    </w:p>
    <w:p w14:paraId="23AA3BA6" w14:textId="18D700B4"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proofErr w:type="spellStart"/>
      <w:r w:rsidR="00E76745" w:rsidRPr="006D6427">
        <w:rPr>
          <w:i/>
          <w:iCs/>
          <w:szCs w:val="22"/>
          <w:lang w:val="fr-FR"/>
        </w:rPr>
        <w:t>Reverso</w:t>
      </w:r>
      <w:proofErr w:type="spellEnd"/>
      <w:r w:rsidR="00E76745" w:rsidRPr="006D6427">
        <w:rPr>
          <w:i/>
          <w:iCs/>
          <w:szCs w:val="22"/>
          <w:lang w:val="fr-FR"/>
        </w:rPr>
        <w:t>, un objet de désir planétaire (…) Des terrains de polo aux plateaux de cinéma, cette icône de l'horlogerie, imaginée il y a quatre-vingt-dix ans par Jaeger-</w:t>
      </w:r>
      <w:proofErr w:type="spellStart"/>
      <w:r w:rsidR="00E76745" w:rsidRPr="006D6427">
        <w:rPr>
          <w:i/>
          <w:iCs/>
          <w:szCs w:val="22"/>
          <w:lang w:val="fr-FR"/>
        </w:rPr>
        <w:t>LeCoultre</w:t>
      </w:r>
      <w:proofErr w:type="spellEnd"/>
      <w:r w:rsidR="00E76745" w:rsidRPr="006D6427">
        <w:rPr>
          <w:i/>
          <w:iCs/>
          <w:szCs w:val="22"/>
          <w:lang w:val="fr-FR"/>
        </w:rPr>
        <w:t>, s'est imposée comme un indispensable garde-temps </w:t>
      </w:r>
      <w:r w:rsidR="00E76745" w:rsidRPr="006D6427">
        <w:rPr>
          <w:szCs w:val="22"/>
          <w:lang w:val="fr-FR"/>
        </w:rPr>
        <w:t>» DREAMS 01-JAN-22</w:t>
      </w:r>
    </w:p>
    <w:p w14:paraId="54BF06D3" w14:textId="48FFC76D"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Jaeger-</w:t>
      </w:r>
      <w:proofErr w:type="spellStart"/>
      <w:r w:rsidR="00E76745" w:rsidRPr="006D6427">
        <w:rPr>
          <w:i/>
          <w:iCs/>
          <w:szCs w:val="22"/>
          <w:lang w:val="fr-FR"/>
        </w:rPr>
        <w:t>leCoultre</w:t>
      </w:r>
      <w:proofErr w:type="spellEnd"/>
      <w:r w:rsidR="00E76745" w:rsidRPr="006D6427">
        <w:rPr>
          <w:i/>
          <w:iCs/>
          <w:szCs w:val="22"/>
          <w:lang w:val="fr-FR"/>
        </w:rPr>
        <w:t xml:space="preserve"> fête les 90 ans de sa montre best-seller </w:t>
      </w:r>
      <w:proofErr w:type="spellStart"/>
      <w:r w:rsidR="00E76745" w:rsidRPr="006D6427">
        <w:rPr>
          <w:i/>
          <w:iCs/>
          <w:szCs w:val="22"/>
          <w:lang w:val="fr-FR"/>
        </w:rPr>
        <w:t>Reverso</w:t>
      </w:r>
      <w:proofErr w:type="spellEnd"/>
      <w:r w:rsidR="00E76745" w:rsidRPr="006D6427">
        <w:rPr>
          <w:i/>
          <w:iCs/>
          <w:szCs w:val="22"/>
          <w:lang w:val="fr-FR"/>
        </w:rPr>
        <w:t xml:space="preserve">. A </w:t>
      </w:r>
      <w:proofErr w:type="gramStart"/>
      <w:r w:rsidR="00E76745" w:rsidRPr="006D6427">
        <w:rPr>
          <w:i/>
          <w:iCs/>
          <w:szCs w:val="22"/>
          <w:lang w:val="fr-FR"/>
        </w:rPr>
        <w:t>l'honneur:</w:t>
      </w:r>
      <w:proofErr w:type="gramEnd"/>
      <w:r w:rsidR="00E76745" w:rsidRPr="006D6427">
        <w:rPr>
          <w:i/>
          <w:iCs/>
          <w:szCs w:val="22"/>
          <w:lang w:val="fr-FR"/>
        </w:rPr>
        <w:t xml:space="preserve"> toute la technicité de cette icône à double face </w:t>
      </w:r>
      <w:r w:rsidR="00E76745" w:rsidRPr="006D6427">
        <w:rPr>
          <w:szCs w:val="22"/>
          <w:lang w:val="fr-FR"/>
        </w:rPr>
        <w:t xml:space="preserve">» ELLE 22-OCT-21 </w:t>
      </w:r>
    </w:p>
    <w:p w14:paraId="3F75BD58" w14:textId="0F8933F9"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Réinterprétée en or rose, la </w:t>
      </w:r>
      <w:proofErr w:type="spellStart"/>
      <w:r w:rsidR="00E76745" w:rsidRPr="006D6427">
        <w:rPr>
          <w:i/>
          <w:iCs/>
          <w:szCs w:val="22"/>
          <w:lang w:val="fr-FR"/>
        </w:rPr>
        <w:t>Reverso</w:t>
      </w:r>
      <w:proofErr w:type="spellEnd"/>
      <w:r w:rsidR="00E76745" w:rsidRPr="006D6427">
        <w:rPr>
          <w:i/>
          <w:iCs/>
          <w:szCs w:val="22"/>
          <w:lang w:val="fr-FR"/>
        </w:rPr>
        <w:t xml:space="preserve"> tribute </w:t>
      </w:r>
      <w:proofErr w:type="spellStart"/>
      <w:r w:rsidR="00E76745" w:rsidRPr="006D6427">
        <w:rPr>
          <w:i/>
          <w:iCs/>
          <w:szCs w:val="22"/>
          <w:lang w:val="fr-FR"/>
        </w:rPr>
        <w:t>chronograph</w:t>
      </w:r>
      <w:proofErr w:type="spellEnd"/>
      <w:r w:rsidR="00E76745" w:rsidRPr="006D6427">
        <w:rPr>
          <w:i/>
          <w:iCs/>
          <w:szCs w:val="22"/>
          <w:lang w:val="fr-FR"/>
        </w:rPr>
        <w:t xml:space="preserve"> se veut l'expression sportive par excellence de l'iconique collection à l'élégance intemporelle </w:t>
      </w:r>
      <w:r w:rsidR="00E76745" w:rsidRPr="006D6427">
        <w:rPr>
          <w:szCs w:val="22"/>
          <w:lang w:val="fr-FR"/>
        </w:rPr>
        <w:t xml:space="preserve">» La Revue Des Montres 01-Dec-24 </w:t>
      </w:r>
    </w:p>
    <w:p w14:paraId="22EDBA01" w14:textId="77777777" w:rsidR="00E76745" w:rsidRPr="006D6427" w:rsidRDefault="00E76745" w:rsidP="00E76745">
      <w:pPr>
        <w:jc w:val="both"/>
        <w:rPr>
          <w:szCs w:val="22"/>
          <w:lang w:val="fr-FR"/>
        </w:rPr>
      </w:pPr>
    </w:p>
    <w:p w14:paraId="15057475" w14:textId="65B916E9" w:rsidR="00E76745" w:rsidRPr="006D6427" w:rsidRDefault="00E76745" w:rsidP="00E76745">
      <w:pPr>
        <w:jc w:val="both"/>
        <w:rPr>
          <w:szCs w:val="22"/>
          <w:lang w:val="fr-FR"/>
        </w:rPr>
      </w:pPr>
      <w:r w:rsidRPr="006D6427">
        <w:rPr>
          <w:b/>
          <w:bCs/>
          <w:szCs w:val="22"/>
          <w:lang w:val="fr-FR"/>
        </w:rPr>
        <w:t>Annexe 6 :</w:t>
      </w:r>
      <w:r w:rsidRPr="006D6427">
        <w:rPr>
          <w:szCs w:val="22"/>
          <w:lang w:val="fr-FR"/>
        </w:rPr>
        <w:t xml:space="preserve"> Articles de presse Belgique dans lesquels on peut lire notamment :</w:t>
      </w:r>
    </w:p>
    <w:p w14:paraId="0D5179E9" w14:textId="77777777" w:rsidR="00E76745" w:rsidRPr="006D6427" w:rsidRDefault="00E76745" w:rsidP="00E76745">
      <w:pPr>
        <w:jc w:val="both"/>
        <w:rPr>
          <w:szCs w:val="22"/>
          <w:lang w:val="fr-FR"/>
        </w:rPr>
      </w:pPr>
    </w:p>
    <w:p w14:paraId="09BE851D" w14:textId="54EFD706"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MYTHE HORLOGER » « La </w:t>
      </w:r>
      <w:proofErr w:type="spellStart"/>
      <w:r w:rsidR="00E76745" w:rsidRPr="006D6427">
        <w:rPr>
          <w:i/>
          <w:iCs/>
          <w:szCs w:val="22"/>
          <w:lang w:val="fr-FR"/>
        </w:rPr>
        <w:t>Reverso</w:t>
      </w:r>
      <w:proofErr w:type="spellEnd"/>
      <w:r w:rsidR="00E76745" w:rsidRPr="006D6427">
        <w:rPr>
          <w:i/>
          <w:iCs/>
          <w:szCs w:val="22"/>
          <w:lang w:val="fr-FR"/>
        </w:rPr>
        <w:t xml:space="preserve"> de Jaeger-</w:t>
      </w:r>
      <w:proofErr w:type="spellStart"/>
      <w:r w:rsidR="00E76745" w:rsidRPr="006D6427">
        <w:rPr>
          <w:i/>
          <w:iCs/>
          <w:szCs w:val="22"/>
          <w:lang w:val="fr-FR"/>
        </w:rPr>
        <w:t>LeCoultre</w:t>
      </w:r>
      <w:proofErr w:type="spellEnd"/>
      <w:r w:rsidR="00E76745" w:rsidRPr="006D6427">
        <w:rPr>
          <w:i/>
          <w:iCs/>
          <w:szCs w:val="22"/>
          <w:lang w:val="fr-FR"/>
        </w:rPr>
        <w:t xml:space="preserve"> est une des icones de l'horlogerie Moderne </w:t>
      </w:r>
      <w:r w:rsidR="00E76745" w:rsidRPr="006D6427">
        <w:rPr>
          <w:szCs w:val="22"/>
          <w:lang w:val="fr-FR"/>
        </w:rPr>
        <w:t xml:space="preserve">», ESSENTIELLE FOCUS -NOV 2021 </w:t>
      </w:r>
    </w:p>
    <w:p w14:paraId="6D05561D" w14:textId="1461B0A9"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Inventeur du mouvement extra-plat et de la célèbre REVERSO </w:t>
      </w:r>
      <w:r w:rsidR="00E76745" w:rsidRPr="006D6427">
        <w:rPr>
          <w:szCs w:val="22"/>
          <w:lang w:val="fr-FR"/>
        </w:rPr>
        <w:t>», L`EVENTAIL 01- FEB-22</w:t>
      </w:r>
    </w:p>
    <w:p w14:paraId="00C599AA" w14:textId="3A1A425E"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LA REVERSO L'ETERNELLE VOLTE-FACE </w:t>
      </w:r>
      <w:r w:rsidR="00E76745" w:rsidRPr="006D6427">
        <w:rPr>
          <w:szCs w:val="22"/>
          <w:lang w:val="fr-FR"/>
        </w:rPr>
        <w:t>» « </w:t>
      </w:r>
      <w:r w:rsidR="00E76745" w:rsidRPr="006D6427">
        <w:rPr>
          <w:i/>
          <w:iCs/>
          <w:szCs w:val="22"/>
          <w:lang w:val="fr-FR"/>
        </w:rPr>
        <w:t>La manufacture Jaeger-</w:t>
      </w:r>
      <w:proofErr w:type="spellStart"/>
      <w:r w:rsidR="00E76745" w:rsidRPr="006D6427">
        <w:rPr>
          <w:i/>
          <w:iCs/>
          <w:szCs w:val="22"/>
          <w:lang w:val="fr-FR"/>
        </w:rPr>
        <w:t>LeCoultre</w:t>
      </w:r>
      <w:proofErr w:type="spellEnd"/>
      <w:r w:rsidR="00E76745" w:rsidRPr="006D6427">
        <w:rPr>
          <w:i/>
          <w:iCs/>
          <w:szCs w:val="22"/>
          <w:lang w:val="fr-FR"/>
        </w:rPr>
        <w:t xml:space="preserve"> a créé, à l'apogée de l'Art déco, cette icône dans le vrai sens du terme. Un succès inaltérable... et un 90° anniversaire </w:t>
      </w:r>
      <w:r w:rsidR="00E76745" w:rsidRPr="006D6427">
        <w:rPr>
          <w:szCs w:val="22"/>
          <w:lang w:val="fr-FR"/>
        </w:rPr>
        <w:t>», Paris Match 06-May-21.</w:t>
      </w:r>
    </w:p>
    <w:p w14:paraId="37A4BD70" w14:textId="390055A3"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Plus qu'un garde-temps, une légende, dont on a fêté les 90 ans en 2021 </w:t>
      </w:r>
      <w:r w:rsidR="00E76745" w:rsidRPr="006D6427">
        <w:rPr>
          <w:szCs w:val="22"/>
          <w:lang w:val="fr-FR"/>
        </w:rPr>
        <w:t>», Paris Match 10-Apr-25</w:t>
      </w:r>
    </w:p>
    <w:p w14:paraId="460451BF" w14:textId="06AFFDAA"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La manufacture suisse rend hommage à la fascinante formule mathématique, qui a guidé le design original de sa célèbre </w:t>
      </w:r>
      <w:proofErr w:type="spellStart"/>
      <w:r w:rsidR="00E76745" w:rsidRPr="006D6427">
        <w:rPr>
          <w:i/>
          <w:iCs/>
          <w:szCs w:val="22"/>
          <w:lang w:val="fr-FR"/>
        </w:rPr>
        <w:t>Reverso</w:t>
      </w:r>
      <w:proofErr w:type="spellEnd"/>
      <w:r w:rsidR="00E76745" w:rsidRPr="006D6427">
        <w:rPr>
          <w:i/>
          <w:iCs/>
          <w:szCs w:val="22"/>
          <w:lang w:val="fr-FR"/>
        </w:rPr>
        <w:t> </w:t>
      </w:r>
      <w:r w:rsidR="00E76745" w:rsidRPr="006D6427">
        <w:rPr>
          <w:szCs w:val="22"/>
          <w:lang w:val="fr-FR"/>
        </w:rPr>
        <w:t>», Paris Match 27-Apr-23</w:t>
      </w:r>
    </w:p>
    <w:p w14:paraId="2EC0EC72" w14:textId="1B764540"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Considérée comme l’une des pièces emblématiques de tous les temps, </w:t>
      </w:r>
      <w:proofErr w:type="spellStart"/>
      <w:r w:rsidR="00E76745" w:rsidRPr="006D6427">
        <w:rPr>
          <w:i/>
          <w:iCs/>
          <w:szCs w:val="22"/>
          <w:lang w:val="fr-FR"/>
        </w:rPr>
        <w:t>Reverso</w:t>
      </w:r>
      <w:proofErr w:type="spellEnd"/>
      <w:r w:rsidR="00E76745" w:rsidRPr="006D6427">
        <w:rPr>
          <w:i/>
          <w:iCs/>
          <w:szCs w:val="22"/>
          <w:lang w:val="fr-FR"/>
        </w:rPr>
        <w:t xml:space="preserve"> typiquement Art déco a eu 90 ans en 2021 </w:t>
      </w:r>
      <w:r w:rsidR="00E76745" w:rsidRPr="006D6427">
        <w:rPr>
          <w:szCs w:val="22"/>
          <w:lang w:val="fr-FR"/>
        </w:rPr>
        <w:t xml:space="preserve">», Paris Match </w:t>
      </w:r>
      <w:proofErr w:type="spellStart"/>
      <w:r w:rsidR="00E76745" w:rsidRPr="006D6427">
        <w:rPr>
          <w:szCs w:val="22"/>
          <w:lang w:val="fr-FR"/>
        </w:rPr>
        <w:t>Spec</w:t>
      </w:r>
      <w:proofErr w:type="spellEnd"/>
      <w:r w:rsidR="00E76745" w:rsidRPr="006D6427">
        <w:rPr>
          <w:szCs w:val="22"/>
          <w:lang w:val="fr-FR"/>
        </w:rPr>
        <w:t>. Montres juin 2021.</w:t>
      </w:r>
    </w:p>
    <w:p w14:paraId="3A3BA602" w14:textId="6356C1C5" w:rsidR="00E76745" w:rsidRPr="006D6427" w:rsidRDefault="006D6427" w:rsidP="006D6427">
      <w:pPr>
        <w:ind w:left="360" w:hanging="360"/>
        <w:jc w:val="both"/>
        <w:rPr>
          <w:szCs w:val="22"/>
          <w:lang w:val="fr-FR"/>
        </w:rPr>
      </w:pPr>
      <w:r w:rsidRPr="006D6427">
        <w:rPr>
          <w:szCs w:val="22"/>
          <w:lang w:val="fr-FR"/>
        </w:rPr>
        <w:lastRenderedPageBreak/>
        <w:t>-</w:t>
      </w:r>
      <w:r w:rsidRPr="006D6427">
        <w:rPr>
          <w:szCs w:val="22"/>
          <w:lang w:val="fr-FR"/>
        </w:rPr>
        <w:tab/>
      </w:r>
      <w:r w:rsidR="00E76745" w:rsidRPr="006D6427">
        <w:rPr>
          <w:szCs w:val="22"/>
          <w:lang w:val="fr-FR"/>
        </w:rPr>
        <w:t>« </w:t>
      </w:r>
      <w:r w:rsidR="00E76745" w:rsidRPr="006D6427">
        <w:rPr>
          <w:i/>
          <w:iCs/>
          <w:szCs w:val="22"/>
          <w:lang w:val="fr-FR"/>
        </w:rPr>
        <w:t xml:space="preserve">La </w:t>
      </w:r>
      <w:proofErr w:type="spellStart"/>
      <w:r w:rsidR="00E76745" w:rsidRPr="006D6427">
        <w:rPr>
          <w:i/>
          <w:iCs/>
          <w:szCs w:val="22"/>
          <w:lang w:val="fr-FR"/>
        </w:rPr>
        <w:t>Reverso</w:t>
      </w:r>
      <w:proofErr w:type="spellEnd"/>
      <w:r w:rsidR="00E76745" w:rsidRPr="006D6427">
        <w:rPr>
          <w:i/>
          <w:iCs/>
          <w:szCs w:val="22"/>
          <w:lang w:val="fr-FR"/>
        </w:rPr>
        <w:t xml:space="preserve"> de Jaeger-</w:t>
      </w:r>
      <w:proofErr w:type="spellStart"/>
      <w:r w:rsidR="00E76745" w:rsidRPr="006D6427">
        <w:rPr>
          <w:i/>
          <w:iCs/>
          <w:szCs w:val="22"/>
          <w:lang w:val="fr-FR"/>
        </w:rPr>
        <w:t>LeCoultre</w:t>
      </w:r>
      <w:proofErr w:type="spellEnd"/>
      <w:r w:rsidR="00E76745" w:rsidRPr="006D6427">
        <w:rPr>
          <w:i/>
          <w:iCs/>
          <w:szCs w:val="22"/>
          <w:lang w:val="fr-FR"/>
        </w:rPr>
        <w:t xml:space="preserve"> demeure une icône de style et de design. Née à la fin de la période Art-</w:t>
      </w:r>
      <w:proofErr w:type="spellStart"/>
      <w:r w:rsidR="00E76745" w:rsidRPr="006D6427">
        <w:rPr>
          <w:i/>
          <w:iCs/>
          <w:szCs w:val="22"/>
          <w:lang w:val="fr-FR"/>
        </w:rPr>
        <w:t>Deco</w:t>
      </w:r>
      <w:proofErr w:type="spellEnd"/>
      <w:r w:rsidR="00E76745" w:rsidRPr="006D6427">
        <w:rPr>
          <w:i/>
          <w:iCs/>
          <w:szCs w:val="22"/>
          <w:lang w:val="fr-FR"/>
        </w:rPr>
        <w:t>. Elle fête ses 90 ans </w:t>
      </w:r>
      <w:r w:rsidR="00E76745" w:rsidRPr="006D6427">
        <w:rPr>
          <w:szCs w:val="22"/>
          <w:lang w:val="fr-FR"/>
        </w:rPr>
        <w:t>», Passion Des Montres 01-May-21.</w:t>
      </w:r>
    </w:p>
    <w:p w14:paraId="1D5C7757" w14:textId="30246AD0"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 </w:t>
      </w:r>
      <w:r w:rsidR="00E76745" w:rsidRPr="006D6427">
        <w:rPr>
          <w:i/>
          <w:iCs/>
          <w:szCs w:val="22"/>
          <w:lang w:val="fr-FR"/>
        </w:rPr>
        <w:t xml:space="preserve">Créée en 1931, la </w:t>
      </w:r>
      <w:proofErr w:type="spellStart"/>
      <w:r w:rsidR="00E76745" w:rsidRPr="006D6427">
        <w:rPr>
          <w:i/>
          <w:iCs/>
          <w:szCs w:val="22"/>
          <w:lang w:val="fr-FR"/>
        </w:rPr>
        <w:t>Reverso</w:t>
      </w:r>
      <w:proofErr w:type="spellEnd"/>
      <w:r w:rsidR="00E76745" w:rsidRPr="006D6427">
        <w:rPr>
          <w:i/>
          <w:iCs/>
          <w:szCs w:val="22"/>
          <w:lang w:val="fr-FR"/>
        </w:rPr>
        <w:t xml:space="preserve"> possède un design d'une rare longévité. Depuis sa création peut parler d'une véritable </w:t>
      </w:r>
      <w:proofErr w:type="spellStart"/>
      <w:r w:rsidR="00E76745" w:rsidRPr="006D6427">
        <w:rPr>
          <w:i/>
          <w:iCs/>
          <w:szCs w:val="22"/>
          <w:lang w:val="fr-FR"/>
        </w:rPr>
        <w:t>success</w:t>
      </w:r>
      <w:proofErr w:type="spellEnd"/>
      <w:r w:rsidR="00E76745" w:rsidRPr="006D6427">
        <w:rPr>
          <w:i/>
          <w:iCs/>
          <w:szCs w:val="22"/>
          <w:lang w:val="fr-FR"/>
        </w:rPr>
        <w:t xml:space="preserve"> story </w:t>
      </w:r>
      <w:r w:rsidR="00E76745" w:rsidRPr="006D6427">
        <w:rPr>
          <w:szCs w:val="22"/>
          <w:lang w:val="fr-FR"/>
        </w:rPr>
        <w:t>», So Soir 04-Nov-23</w:t>
      </w:r>
    </w:p>
    <w:p w14:paraId="7F5B0B8F" w14:textId="77777777" w:rsidR="00E76745" w:rsidRPr="006D6427" w:rsidRDefault="00E76745" w:rsidP="00E76745">
      <w:pPr>
        <w:jc w:val="both"/>
        <w:rPr>
          <w:szCs w:val="22"/>
          <w:lang w:val="fr-FR"/>
        </w:rPr>
      </w:pPr>
    </w:p>
    <w:p w14:paraId="62D76DAD" w14:textId="44D9AED6" w:rsidR="00E76745" w:rsidRPr="006D6427" w:rsidRDefault="00E76745" w:rsidP="00E76745">
      <w:pPr>
        <w:jc w:val="both"/>
        <w:rPr>
          <w:szCs w:val="22"/>
          <w:lang w:val="fr-FR"/>
        </w:rPr>
      </w:pPr>
      <w:r w:rsidRPr="006D6427">
        <w:rPr>
          <w:b/>
          <w:bCs/>
          <w:szCs w:val="22"/>
          <w:lang w:val="fr-FR"/>
        </w:rPr>
        <w:t>Annexe 7 :</w:t>
      </w:r>
      <w:r w:rsidRPr="006D6427">
        <w:rPr>
          <w:szCs w:val="22"/>
          <w:lang w:val="fr-FR"/>
        </w:rPr>
        <w:t xml:space="preserve"> Palmarès 2007 et 2008 du Prix d’horlogerie GPHG </w:t>
      </w:r>
    </w:p>
    <w:p w14:paraId="7D976215" w14:textId="77777777" w:rsidR="00E76745" w:rsidRPr="006D6427" w:rsidRDefault="00E76745" w:rsidP="00E76745">
      <w:pPr>
        <w:jc w:val="both"/>
        <w:rPr>
          <w:szCs w:val="22"/>
          <w:lang w:val="fr-FR"/>
        </w:rPr>
      </w:pPr>
    </w:p>
    <w:p w14:paraId="339AB079" w14:textId="3B5FE6AE" w:rsidR="00E76745" w:rsidRPr="006D6427" w:rsidRDefault="00E76745" w:rsidP="00E76745">
      <w:pPr>
        <w:jc w:val="both"/>
        <w:rPr>
          <w:szCs w:val="22"/>
          <w:lang w:val="fr-FR"/>
        </w:rPr>
      </w:pPr>
      <w:r w:rsidRPr="006D6427">
        <w:rPr>
          <w:b/>
          <w:bCs/>
          <w:szCs w:val="22"/>
          <w:lang w:val="fr-FR"/>
        </w:rPr>
        <w:t>Annexe 8 :</w:t>
      </w:r>
      <w:r w:rsidRPr="006D6427">
        <w:rPr>
          <w:szCs w:val="22"/>
          <w:lang w:val="fr-FR"/>
        </w:rPr>
        <w:t xml:space="preserve"> Célébrités associées à la marque parmi lesquelles Usher, Omar Sy, </w:t>
      </w:r>
      <w:proofErr w:type="spellStart"/>
      <w:r w:rsidRPr="006D6427">
        <w:rPr>
          <w:szCs w:val="22"/>
          <w:lang w:val="fr-FR"/>
        </w:rPr>
        <w:t>Tramell</w:t>
      </w:r>
      <w:proofErr w:type="spellEnd"/>
      <w:r w:rsidRPr="006D6427">
        <w:rPr>
          <w:szCs w:val="22"/>
          <w:lang w:val="fr-FR"/>
        </w:rPr>
        <w:t xml:space="preserve"> </w:t>
      </w:r>
      <w:proofErr w:type="spellStart"/>
      <w:r w:rsidRPr="006D6427">
        <w:rPr>
          <w:szCs w:val="22"/>
          <w:lang w:val="fr-FR"/>
        </w:rPr>
        <w:t>Tillman</w:t>
      </w:r>
      <w:proofErr w:type="spellEnd"/>
      <w:r w:rsidRPr="006D6427">
        <w:rPr>
          <w:szCs w:val="22"/>
          <w:lang w:val="fr-FR"/>
        </w:rPr>
        <w:t xml:space="preserve">, Jeremy Allen White, Ego </w:t>
      </w:r>
      <w:proofErr w:type="spellStart"/>
      <w:r w:rsidRPr="006D6427">
        <w:rPr>
          <w:szCs w:val="22"/>
          <w:lang w:val="fr-FR"/>
        </w:rPr>
        <w:t>Nwodim</w:t>
      </w:r>
      <w:proofErr w:type="spellEnd"/>
      <w:r w:rsidRPr="006D6427">
        <w:rPr>
          <w:szCs w:val="22"/>
          <w:lang w:val="fr-FR"/>
        </w:rPr>
        <w:t xml:space="preserve">, </w:t>
      </w:r>
      <w:proofErr w:type="spellStart"/>
      <w:r w:rsidRPr="006D6427">
        <w:rPr>
          <w:szCs w:val="22"/>
          <w:lang w:val="fr-FR"/>
        </w:rPr>
        <w:t>Kaytranada</w:t>
      </w:r>
      <w:proofErr w:type="spellEnd"/>
      <w:r w:rsidRPr="006D6427">
        <w:rPr>
          <w:szCs w:val="22"/>
          <w:lang w:val="fr-FR"/>
        </w:rPr>
        <w:t xml:space="preserve">, Robert Downey Jr., Pierce Brosnan, Leonardo Di </w:t>
      </w:r>
      <w:proofErr w:type="spellStart"/>
      <w:r w:rsidRPr="006D6427">
        <w:rPr>
          <w:szCs w:val="22"/>
          <w:lang w:val="fr-FR"/>
        </w:rPr>
        <w:t>Caprio</w:t>
      </w:r>
      <w:proofErr w:type="spellEnd"/>
      <w:r w:rsidRPr="006D6427">
        <w:rPr>
          <w:szCs w:val="22"/>
          <w:lang w:val="fr-FR"/>
        </w:rPr>
        <w:t xml:space="preserve">, Jamie </w:t>
      </w:r>
      <w:proofErr w:type="spellStart"/>
      <w:r w:rsidRPr="006D6427">
        <w:rPr>
          <w:szCs w:val="22"/>
          <w:lang w:val="fr-FR"/>
        </w:rPr>
        <w:t>Foxx</w:t>
      </w:r>
      <w:proofErr w:type="spellEnd"/>
      <w:r w:rsidRPr="006D6427">
        <w:rPr>
          <w:szCs w:val="22"/>
          <w:lang w:val="fr-FR"/>
        </w:rPr>
        <w:t xml:space="preserve">, Matt Damon, Jon Hamm, Adrien Brody, Christian Bale, Clive Owen, Michael Douglas, Dev Patel, Jay-Z, le roi Charles d’Angleterre, Thimothée Chalamet, Lenny Kravitz, Guillaume Canet, Nicolas </w:t>
      </w:r>
      <w:proofErr w:type="spellStart"/>
      <w:r w:rsidRPr="006D6427">
        <w:rPr>
          <w:szCs w:val="22"/>
          <w:lang w:val="fr-FR"/>
        </w:rPr>
        <w:t>Hoult</w:t>
      </w:r>
      <w:proofErr w:type="spellEnd"/>
      <w:r w:rsidRPr="006D6427">
        <w:rPr>
          <w:szCs w:val="22"/>
          <w:lang w:val="fr-FR"/>
        </w:rPr>
        <w:t xml:space="preserve">, Anya Taylor-Joy, Amanda Seyfried, Andrew Garfield, Matt </w:t>
      </w:r>
      <w:proofErr w:type="spellStart"/>
      <w:r w:rsidRPr="006D6427">
        <w:rPr>
          <w:szCs w:val="22"/>
          <w:lang w:val="fr-FR"/>
        </w:rPr>
        <w:t>Bomer</w:t>
      </w:r>
      <w:proofErr w:type="spellEnd"/>
      <w:r w:rsidRPr="006D6427">
        <w:rPr>
          <w:szCs w:val="22"/>
          <w:lang w:val="fr-FR"/>
        </w:rPr>
        <w:t xml:space="preserve">, </w:t>
      </w:r>
      <w:proofErr w:type="spellStart"/>
      <w:r w:rsidRPr="006D6427">
        <w:rPr>
          <w:szCs w:val="22"/>
          <w:lang w:val="fr-FR"/>
        </w:rPr>
        <w:t>Regé</w:t>
      </w:r>
      <w:proofErr w:type="spellEnd"/>
      <w:r w:rsidRPr="006D6427">
        <w:rPr>
          <w:szCs w:val="22"/>
          <w:lang w:val="fr-FR"/>
        </w:rPr>
        <w:t xml:space="preserve">-Jean Page, Benedict </w:t>
      </w:r>
      <w:proofErr w:type="spellStart"/>
      <w:r w:rsidRPr="006D6427">
        <w:rPr>
          <w:szCs w:val="22"/>
          <w:lang w:val="fr-FR"/>
        </w:rPr>
        <w:t>Cumberbatch</w:t>
      </w:r>
      <w:proofErr w:type="spellEnd"/>
      <w:r w:rsidRPr="006D6427">
        <w:rPr>
          <w:szCs w:val="22"/>
          <w:lang w:val="fr-FR"/>
        </w:rPr>
        <w:t xml:space="preserve">, Nina Métayer, Willem </w:t>
      </w:r>
      <w:proofErr w:type="spellStart"/>
      <w:r w:rsidRPr="006D6427">
        <w:rPr>
          <w:szCs w:val="22"/>
          <w:lang w:val="fr-FR"/>
        </w:rPr>
        <w:t>Dafoe</w:t>
      </w:r>
      <w:proofErr w:type="spellEnd"/>
      <w:r w:rsidRPr="006D6427">
        <w:rPr>
          <w:szCs w:val="22"/>
          <w:lang w:val="fr-FR"/>
        </w:rPr>
        <w:t xml:space="preserve">, Diane Kruger, </w:t>
      </w:r>
      <w:proofErr w:type="spellStart"/>
      <w:r w:rsidRPr="006D6427">
        <w:rPr>
          <w:szCs w:val="22"/>
          <w:lang w:val="fr-FR"/>
        </w:rPr>
        <w:t>Juie</w:t>
      </w:r>
      <w:proofErr w:type="spellEnd"/>
      <w:r w:rsidRPr="006D6427">
        <w:rPr>
          <w:szCs w:val="22"/>
          <w:lang w:val="fr-FR"/>
        </w:rPr>
        <w:t xml:space="preserve"> Gayet, Cameron Silver, Carmen Chaplin, </w:t>
      </w:r>
      <w:proofErr w:type="spellStart"/>
      <w:r w:rsidRPr="006D6427">
        <w:rPr>
          <w:szCs w:val="22"/>
          <w:lang w:val="fr-FR"/>
        </w:rPr>
        <w:t>Cristiana</w:t>
      </w:r>
      <w:proofErr w:type="spellEnd"/>
      <w:r w:rsidRPr="006D6427">
        <w:rPr>
          <w:szCs w:val="22"/>
          <w:lang w:val="fr-FR"/>
        </w:rPr>
        <w:t xml:space="preserve"> </w:t>
      </w:r>
      <w:proofErr w:type="spellStart"/>
      <w:r w:rsidRPr="006D6427">
        <w:rPr>
          <w:szCs w:val="22"/>
          <w:lang w:val="fr-FR"/>
        </w:rPr>
        <w:t>Capotondi</w:t>
      </w:r>
      <w:proofErr w:type="spellEnd"/>
      <w:r w:rsidRPr="006D6427">
        <w:rPr>
          <w:szCs w:val="22"/>
          <w:lang w:val="fr-FR"/>
        </w:rPr>
        <w:t xml:space="preserve">, Ariane Massenet, Gaspard </w:t>
      </w:r>
      <w:proofErr w:type="spellStart"/>
      <w:r w:rsidRPr="006D6427">
        <w:rPr>
          <w:szCs w:val="22"/>
          <w:lang w:val="fr-FR"/>
        </w:rPr>
        <w:t>Ulliel</w:t>
      </w:r>
      <w:proofErr w:type="spellEnd"/>
      <w:r w:rsidRPr="006D6427">
        <w:rPr>
          <w:szCs w:val="22"/>
          <w:lang w:val="fr-FR"/>
        </w:rPr>
        <w:t xml:space="preserve">, Matthew Mc </w:t>
      </w:r>
      <w:proofErr w:type="spellStart"/>
      <w:r w:rsidRPr="006D6427">
        <w:rPr>
          <w:szCs w:val="22"/>
          <w:lang w:val="fr-FR"/>
        </w:rPr>
        <w:t>Fayden</w:t>
      </w:r>
      <w:proofErr w:type="spellEnd"/>
      <w:r w:rsidRPr="006D6427">
        <w:rPr>
          <w:szCs w:val="22"/>
          <w:lang w:val="fr-FR"/>
        </w:rPr>
        <w:t>, etc…</w:t>
      </w:r>
    </w:p>
    <w:p w14:paraId="5070DAB6" w14:textId="77777777" w:rsidR="00E76745" w:rsidRPr="006D6427" w:rsidRDefault="00E76745" w:rsidP="00E76745">
      <w:pPr>
        <w:jc w:val="both"/>
        <w:rPr>
          <w:szCs w:val="22"/>
          <w:lang w:val="fr-FR"/>
        </w:rPr>
      </w:pPr>
    </w:p>
    <w:p w14:paraId="14836045" w14:textId="77DFA0C0" w:rsidR="00E76745" w:rsidRPr="006D6427" w:rsidRDefault="00E76745" w:rsidP="00E76745">
      <w:pPr>
        <w:jc w:val="both"/>
        <w:rPr>
          <w:szCs w:val="22"/>
          <w:lang w:val="fr-FR"/>
        </w:rPr>
      </w:pPr>
      <w:r w:rsidRPr="006D6427">
        <w:rPr>
          <w:b/>
          <w:bCs/>
          <w:szCs w:val="22"/>
          <w:lang w:val="fr-FR"/>
        </w:rPr>
        <w:t>Annexe 9 :</w:t>
      </w:r>
      <w:r w:rsidRPr="006D6427">
        <w:rPr>
          <w:szCs w:val="22"/>
          <w:lang w:val="fr-FR"/>
        </w:rPr>
        <w:t xml:space="preserve"> Photographies concernant des partenariats avec des clubs de sport et des évènements sportifs comme le MILAN AC, la JUVENTUS de TURIN, le TORINO FC ;</w:t>
      </w:r>
    </w:p>
    <w:p w14:paraId="0F10FCFA" w14:textId="77777777" w:rsidR="00E76745" w:rsidRPr="006D6427" w:rsidRDefault="00E76745" w:rsidP="00E76745">
      <w:pPr>
        <w:jc w:val="both"/>
        <w:rPr>
          <w:szCs w:val="22"/>
          <w:lang w:val="fr-FR"/>
        </w:rPr>
      </w:pPr>
    </w:p>
    <w:p w14:paraId="19C5C85B" w14:textId="42B2A603" w:rsidR="00E76745" w:rsidRPr="006D6427" w:rsidRDefault="00E76745" w:rsidP="00E76745">
      <w:pPr>
        <w:jc w:val="both"/>
        <w:rPr>
          <w:szCs w:val="22"/>
          <w:lang w:val="fr-FR"/>
        </w:rPr>
      </w:pPr>
      <w:r w:rsidRPr="006D6427">
        <w:rPr>
          <w:b/>
          <w:bCs/>
          <w:szCs w:val="22"/>
          <w:lang w:val="fr-FR"/>
        </w:rPr>
        <w:t>Annexe 10 :</w:t>
      </w:r>
      <w:r w:rsidRPr="006D6427">
        <w:rPr>
          <w:szCs w:val="22"/>
          <w:lang w:val="fr-FR"/>
        </w:rPr>
        <w:t xml:space="preserve"> Photographies de placement de produits dans des films ou sur le tapis rouge d’événements du cinéma ou de la mode ou autres montrant des acteurs, artistes etc., portant des montres </w:t>
      </w:r>
      <w:proofErr w:type="spellStart"/>
      <w:r w:rsidRPr="006D6427">
        <w:rPr>
          <w:szCs w:val="22"/>
          <w:lang w:val="fr-FR"/>
        </w:rPr>
        <w:t>Reverso</w:t>
      </w:r>
      <w:proofErr w:type="spellEnd"/>
      <w:r w:rsidRPr="006D6427">
        <w:rPr>
          <w:szCs w:val="22"/>
          <w:lang w:val="fr-FR"/>
        </w:rPr>
        <w:t xml:space="preserve"> qui leur ont été prêtées pour l’occasion. </w:t>
      </w:r>
    </w:p>
    <w:p w14:paraId="53A4141D" w14:textId="77777777" w:rsidR="00E76745" w:rsidRPr="006D6427" w:rsidRDefault="00E76745" w:rsidP="00E76745">
      <w:pPr>
        <w:jc w:val="both"/>
        <w:rPr>
          <w:szCs w:val="22"/>
          <w:lang w:val="fr-FR"/>
        </w:rPr>
      </w:pPr>
    </w:p>
    <w:p w14:paraId="58A47A32" w14:textId="030BA610" w:rsidR="00E76745" w:rsidRPr="006D6427" w:rsidRDefault="00E76745" w:rsidP="00E76745">
      <w:pPr>
        <w:jc w:val="both"/>
        <w:rPr>
          <w:szCs w:val="22"/>
          <w:lang w:val="fr-FR"/>
        </w:rPr>
      </w:pPr>
      <w:r w:rsidRPr="006D6427">
        <w:rPr>
          <w:b/>
          <w:bCs/>
          <w:szCs w:val="22"/>
          <w:lang w:val="fr-FR"/>
        </w:rPr>
        <w:t>Annexe 11 :</w:t>
      </w:r>
      <w:r w:rsidRPr="006D6427">
        <w:rPr>
          <w:szCs w:val="22"/>
          <w:lang w:val="fr-FR"/>
        </w:rPr>
        <w:t xml:space="preserve"> Partenariats avec des programmes et des artisans d’exception </w:t>
      </w:r>
    </w:p>
    <w:p w14:paraId="38F0ABF4" w14:textId="77777777" w:rsidR="00E76745" w:rsidRPr="006D6427" w:rsidRDefault="00E76745" w:rsidP="00E76745">
      <w:pPr>
        <w:jc w:val="both"/>
        <w:rPr>
          <w:szCs w:val="22"/>
          <w:lang w:val="fr-FR"/>
        </w:rPr>
      </w:pPr>
    </w:p>
    <w:p w14:paraId="040176AD" w14:textId="04313CBE" w:rsidR="00E76745" w:rsidRPr="006D6427" w:rsidRDefault="00E76745" w:rsidP="00E76745">
      <w:pPr>
        <w:jc w:val="both"/>
        <w:rPr>
          <w:szCs w:val="22"/>
          <w:lang w:val="fr-FR"/>
        </w:rPr>
      </w:pPr>
      <w:r w:rsidRPr="006D6427">
        <w:rPr>
          <w:b/>
          <w:bCs/>
          <w:szCs w:val="22"/>
          <w:lang w:val="fr-FR"/>
        </w:rPr>
        <w:t>Annexe 12 :</w:t>
      </w:r>
      <w:r w:rsidRPr="006D6427">
        <w:rPr>
          <w:szCs w:val="22"/>
          <w:lang w:val="fr-FR"/>
        </w:rPr>
        <w:t xml:space="preserve"> Captures d’écran de comptes Instagram d’influenceurs dans le domaine de l’horlogerie portant des montres REVERSO.</w:t>
      </w:r>
    </w:p>
    <w:p w14:paraId="473285D1" w14:textId="77777777" w:rsidR="00E76745" w:rsidRPr="006D6427" w:rsidRDefault="00E76745" w:rsidP="00E76745">
      <w:pPr>
        <w:jc w:val="both"/>
        <w:rPr>
          <w:szCs w:val="22"/>
          <w:lang w:val="fr-FR"/>
        </w:rPr>
      </w:pPr>
    </w:p>
    <w:p w14:paraId="78447AE3" w14:textId="7ECD49F1" w:rsidR="00E76745" w:rsidRPr="006D6427" w:rsidRDefault="00E76745" w:rsidP="00E76745">
      <w:pPr>
        <w:jc w:val="both"/>
        <w:rPr>
          <w:szCs w:val="22"/>
          <w:lang w:val="fr-FR"/>
        </w:rPr>
      </w:pPr>
      <w:r w:rsidRPr="006D6427">
        <w:rPr>
          <w:b/>
          <w:bCs/>
          <w:szCs w:val="22"/>
          <w:lang w:val="fr-FR"/>
        </w:rPr>
        <w:t>Annexe 13 :</w:t>
      </w:r>
      <w:r w:rsidRPr="006D6427">
        <w:rPr>
          <w:szCs w:val="22"/>
          <w:lang w:val="fr-FR"/>
        </w:rPr>
        <w:t xml:space="preserve"> Carte géographique et liste des marques REVERSO de l’opposante dans le monde. </w:t>
      </w:r>
    </w:p>
    <w:p w14:paraId="762B601B" w14:textId="77777777" w:rsidR="00E76745" w:rsidRPr="006D6427" w:rsidRDefault="00E76745" w:rsidP="00E76745">
      <w:pPr>
        <w:jc w:val="both"/>
        <w:rPr>
          <w:szCs w:val="22"/>
          <w:lang w:val="fr-FR"/>
        </w:rPr>
      </w:pPr>
    </w:p>
    <w:p w14:paraId="7912DF92" w14:textId="5C5F8C7A" w:rsidR="00E76745" w:rsidRPr="006D6427" w:rsidRDefault="00E76745" w:rsidP="00E76745">
      <w:pPr>
        <w:jc w:val="both"/>
        <w:rPr>
          <w:szCs w:val="22"/>
          <w:lang w:val="fr-FR"/>
        </w:rPr>
      </w:pPr>
      <w:r w:rsidRPr="006D6427">
        <w:rPr>
          <w:b/>
          <w:bCs/>
          <w:szCs w:val="22"/>
          <w:lang w:val="fr-FR"/>
        </w:rPr>
        <w:t>Annexe 14 :</w:t>
      </w:r>
      <w:r w:rsidRPr="006D6427">
        <w:rPr>
          <w:szCs w:val="22"/>
          <w:lang w:val="fr-FR"/>
        </w:rPr>
        <w:t xml:space="preserve"> Couverture dans la presse internationale. </w:t>
      </w:r>
    </w:p>
    <w:p w14:paraId="6417D64E" w14:textId="77777777" w:rsidR="00E76745" w:rsidRPr="006D6427" w:rsidRDefault="00E76745" w:rsidP="00E76745">
      <w:pPr>
        <w:jc w:val="both"/>
        <w:rPr>
          <w:szCs w:val="22"/>
          <w:lang w:val="fr-FR"/>
        </w:rPr>
      </w:pPr>
    </w:p>
    <w:p w14:paraId="01854854" w14:textId="1DEE2D1B" w:rsidR="00E76745" w:rsidRPr="006D6427" w:rsidRDefault="00E76745" w:rsidP="00E76745">
      <w:pPr>
        <w:jc w:val="both"/>
        <w:rPr>
          <w:szCs w:val="22"/>
          <w:lang w:val="fr-FR"/>
        </w:rPr>
      </w:pPr>
      <w:r w:rsidRPr="006D6427">
        <w:rPr>
          <w:b/>
          <w:bCs/>
          <w:szCs w:val="22"/>
          <w:lang w:val="fr-FR"/>
        </w:rPr>
        <w:t>Annexe 15 :</w:t>
      </w:r>
      <w:r w:rsidRPr="006D6427">
        <w:rPr>
          <w:szCs w:val="22"/>
          <w:lang w:val="fr-FR"/>
        </w:rPr>
        <w:t xml:space="preserve"> Exemples de publicité </w:t>
      </w:r>
    </w:p>
    <w:p w14:paraId="713477C2" w14:textId="77777777" w:rsidR="00E76745" w:rsidRPr="006D6427" w:rsidRDefault="00E76745" w:rsidP="00E76745">
      <w:pPr>
        <w:jc w:val="both"/>
        <w:rPr>
          <w:szCs w:val="22"/>
          <w:lang w:val="fr-FR"/>
        </w:rPr>
      </w:pPr>
    </w:p>
    <w:p w14:paraId="04E344FE" w14:textId="5A0034D1" w:rsidR="00E76745" w:rsidRPr="006D6427" w:rsidRDefault="00E76745" w:rsidP="00E76745">
      <w:pPr>
        <w:jc w:val="both"/>
        <w:rPr>
          <w:szCs w:val="22"/>
          <w:lang w:val="fr-FR"/>
        </w:rPr>
      </w:pPr>
      <w:r w:rsidRPr="006D6427">
        <w:rPr>
          <w:b/>
          <w:bCs/>
          <w:szCs w:val="22"/>
          <w:lang w:val="fr-FR"/>
        </w:rPr>
        <w:t xml:space="preserve">Annexe 16 : </w:t>
      </w:r>
      <w:r w:rsidRPr="006D6427">
        <w:rPr>
          <w:szCs w:val="22"/>
          <w:lang w:val="fr-FR"/>
        </w:rPr>
        <w:t xml:space="preserve">Rapport PR montrant que, sur la période d’avril 2021 à mars </w:t>
      </w:r>
      <w:proofErr w:type="gramStart"/>
      <w:r w:rsidRPr="006D6427">
        <w:rPr>
          <w:szCs w:val="22"/>
          <w:lang w:val="fr-FR"/>
        </w:rPr>
        <w:t>2022:</w:t>
      </w:r>
      <w:proofErr w:type="gramEnd"/>
    </w:p>
    <w:p w14:paraId="1DDA7880" w14:textId="77777777" w:rsidR="00E76745" w:rsidRPr="006D6427" w:rsidRDefault="00E76745" w:rsidP="00E76745">
      <w:pPr>
        <w:jc w:val="both"/>
        <w:rPr>
          <w:szCs w:val="22"/>
          <w:lang w:val="fr-FR"/>
        </w:rPr>
      </w:pPr>
    </w:p>
    <w:p w14:paraId="614D9120" w14:textId="2785397D"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Le nombre de pages de presse écrite faisant mention de la marque REVERSO était de 1593 (pour une circulation de 471.063.122 personnes) (sans précisions quant à l’origine des média concernés).</w:t>
      </w:r>
    </w:p>
    <w:p w14:paraId="77C57587" w14:textId="14CD84A1"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Le nombre d’articles sur Internet faisant mention de la marque REVERSO était de 3793 (pour un nombre mensuel moyen d’utilisateurs de 8.825.650) (sans précisions quant à l’origine des pages Internet concernés).</w:t>
      </w:r>
    </w:p>
    <w:p w14:paraId="6D3AB460" w14:textId="2CED7F08"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Le nombre d’articles sur les réseaux sociaux faisant mention de la marque REVERSO était de 1483 (pour un nombre de « </w:t>
      </w:r>
      <w:proofErr w:type="spellStart"/>
      <w:r w:rsidR="00E76745" w:rsidRPr="006D6427">
        <w:rPr>
          <w:szCs w:val="22"/>
          <w:lang w:val="fr-FR"/>
        </w:rPr>
        <w:t>reach</w:t>
      </w:r>
      <w:proofErr w:type="spellEnd"/>
      <w:r w:rsidR="00E76745" w:rsidRPr="006D6427">
        <w:rPr>
          <w:szCs w:val="22"/>
          <w:lang w:val="fr-FR"/>
        </w:rPr>
        <w:t> » de 15.707.000) (sans précisions quant à l’origine des réseaux concernés).</w:t>
      </w:r>
    </w:p>
    <w:p w14:paraId="0026BC4B" w14:textId="5B299004" w:rsidR="00E76745" w:rsidRPr="006D6427" w:rsidRDefault="006D6427" w:rsidP="006D6427">
      <w:pPr>
        <w:ind w:left="360" w:hanging="360"/>
        <w:jc w:val="both"/>
        <w:rPr>
          <w:szCs w:val="22"/>
          <w:lang w:val="fr-FR"/>
        </w:rPr>
      </w:pPr>
      <w:r w:rsidRPr="006D6427">
        <w:rPr>
          <w:szCs w:val="22"/>
          <w:lang w:val="fr-FR"/>
        </w:rPr>
        <w:t>-</w:t>
      </w:r>
      <w:r w:rsidRPr="006D6427">
        <w:rPr>
          <w:szCs w:val="22"/>
          <w:lang w:val="fr-FR"/>
        </w:rPr>
        <w:tab/>
      </w:r>
      <w:r w:rsidR="00E76745" w:rsidRPr="006D6427">
        <w:rPr>
          <w:szCs w:val="22"/>
          <w:lang w:val="fr-FR"/>
        </w:rPr>
        <w:t>66% des articles de presse concernant la Maison Jaeger-</w:t>
      </w:r>
      <w:proofErr w:type="spellStart"/>
      <w:r w:rsidR="00E76745" w:rsidRPr="006D6427">
        <w:rPr>
          <w:szCs w:val="22"/>
          <w:lang w:val="fr-FR"/>
        </w:rPr>
        <w:t>LeCoultre</w:t>
      </w:r>
      <w:proofErr w:type="spellEnd"/>
      <w:r w:rsidR="00E76745" w:rsidRPr="006D6427">
        <w:rPr>
          <w:szCs w:val="22"/>
          <w:lang w:val="fr-FR"/>
        </w:rPr>
        <w:t xml:space="preserve"> (pour une circulation de 810.647.902 personnes) concernaient la marque REVERSO (sans précisions quant à l’origine des articles de presse concernés).</w:t>
      </w:r>
    </w:p>
    <w:p w14:paraId="69122EA2" w14:textId="77777777" w:rsidR="00E76745" w:rsidRPr="006D6427" w:rsidRDefault="00E76745" w:rsidP="00E76745">
      <w:pPr>
        <w:jc w:val="both"/>
        <w:rPr>
          <w:szCs w:val="22"/>
          <w:lang w:val="fr-FR"/>
        </w:rPr>
      </w:pPr>
    </w:p>
    <w:p w14:paraId="7993EF31" w14:textId="3D4BE92C" w:rsidR="00E76745" w:rsidRPr="006D6427" w:rsidRDefault="00E76745" w:rsidP="00E76745">
      <w:pPr>
        <w:jc w:val="both"/>
        <w:rPr>
          <w:szCs w:val="22"/>
          <w:lang w:val="fr-FR"/>
        </w:rPr>
      </w:pPr>
      <w:r w:rsidRPr="006D6427">
        <w:rPr>
          <w:b/>
          <w:bCs/>
          <w:szCs w:val="22"/>
          <w:lang w:val="fr-FR"/>
        </w:rPr>
        <w:t>Annexe 17 :</w:t>
      </w:r>
      <w:r w:rsidRPr="006D6427">
        <w:rPr>
          <w:szCs w:val="22"/>
          <w:lang w:val="fr-FR"/>
        </w:rPr>
        <w:t xml:space="preserve"> Décision de l’INPI France dans laquelle l’INPI relevait que « la notoriété de la marque REVERSO a été démontrée » et que « le terme REVERSO » était déjà « connu par une grande partie du public »</w:t>
      </w:r>
    </w:p>
    <w:p w14:paraId="3B4C1A12" w14:textId="77777777" w:rsidR="00E76745" w:rsidRPr="006D6427" w:rsidRDefault="00E76745" w:rsidP="00E76745">
      <w:pPr>
        <w:jc w:val="both"/>
        <w:rPr>
          <w:szCs w:val="22"/>
          <w:lang w:val="fr-FR"/>
        </w:rPr>
      </w:pPr>
    </w:p>
    <w:p w14:paraId="7190F456" w14:textId="70A33D97" w:rsidR="00E76745" w:rsidRPr="006D6427" w:rsidRDefault="00E76745" w:rsidP="00E76745">
      <w:pPr>
        <w:jc w:val="both"/>
        <w:rPr>
          <w:szCs w:val="22"/>
          <w:lang w:val="fr-FR"/>
        </w:rPr>
      </w:pPr>
      <w:r w:rsidRPr="006D6427">
        <w:rPr>
          <w:b/>
          <w:bCs/>
          <w:szCs w:val="22"/>
          <w:lang w:val="fr-FR"/>
        </w:rPr>
        <w:lastRenderedPageBreak/>
        <w:t>Annexe 18 :</w:t>
      </w:r>
      <w:r w:rsidRPr="006D6427">
        <w:rPr>
          <w:szCs w:val="22"/>
          <w:lang w:val="fr-FR"/>
        </w:rPr>
        <w:t xml:space="preserve"> Déclaration du 05/09/ 2025 du Président et la de Responsable de la Fédération de l’industrie horlogère suisse (FH) attestant : </w:t>
      </w:r>
    </w:p>
    <w:p w14:paraId="60FA723D" w14:textId="77777777" w:rsidR="00E76745" w:rsidRPr="006D6427" w:rsidRDefault="00E76745" w:rsidP="00E76745">
      <w:pPr>
        <w:jc w:val="both"/>
        <w:rPr>
          <w:szCs w:val="22"/>
          <w:lang w:val="fr-FR"/>
        </w:rPr>
      </w:pPr>
    </w:p>
    <w:p w14:paraId="02FD76B0" w14:textId="358DF07B" w:rsidR="00E76745" w:rsidRPr="006D6427" w:rsidRDefault="00E76745" w:rsidP="00E76745">
      <w:pPr>
        <w:jc w:val="both"/>
        <w:rPr>
          <w:szCs w:val="22"/>
          <w:lang w:val="fr-FR"/>
        </w:rPr>
      </w:pPr>
      <w:r w:rsidRPr="006D6427">
        <w:rPr>
          <w:szCs w:val="22"/>
          <w:lang w:val="fr-FR"/>
        </w:rPr>
        <w:t xml:space="preserve">- « </w:t>
      </w:r>
      <w:r w:rsidRPr="006D6427">
        <w:rPr>
          <w:i/>
          <w:iCs/>
          <w:szCs w:val="22"/>
          <w:lang w:val="fr-FR"/>
        </w:rPr>
        <w:t>que le modèle de montre dit "REVERSO" exploité depuis de nombreuses décennies par la Maison Jaeger-</w:t>
      </w:r>
      <w:proofErr w:type="spellStart"/>
      <w:r w:rsidRPr="006D6427">
        <w:rPr>
          <w:i/>
          <w:iCs/>
          <w:szCs w:val="22"/>
          <w:lang w:val="fr-FR"/>
        </w:rPr>
        <w:t>LeCoultre</w:t>
      </w:r>
      <w:proofErr w:type="spellEnd"/>
      <w:r w:rsidRPr="006D6427">
        <w:rPr>
          <w:i/>
          <w:iCs/>
          <w:szCs w:val="22"/>
          <w:lang w:val="fr-FR"/>
        </w:rPr>
        <w:t xml:space="preserve"> (…</w:t>
      </w:r>
      <w:proofErr w:type="gramStart"/>
      <w:r w:rsidRPr="006D6427">
        <w:rPr>
          <w:i/>
          <w:iCs/>
          <w:szCs w:val="22"/>
          <w:lang w:val="fr-FR"/>
        </w:rPr>
        <w:t>) ,</w:t>
      </w:r>
      <w:proofErr w:type="gramEnd"/>
      <w:r w:rsidRPr="006D6427">
        <w:rPr>
          <w:i/>
          <w:iCs/>
          <w:szCs w:val="22"/>
          <w:lang w:val="fr-FR"/>
        </w:rPr>
        <w:t xml:space="preserve"> constitue un signe de rattachement reconnu par le public à la Maison Jaeger-</w:t>
      </w:r>
      <w:proofErr w:type="spellStart"/>
      <w:r w:rsidRPr="006D6427">
        <w:rPr>
          <w:i/>
          <w:iCs/>
          <w:szCs w:val="22"/>
          <w:lang w:val="fr-FR"/>
        </w:rPr>
        <w:t>LeCoultre</w:t>
      </w:r>
      <w:proofErr w:type="spellEnd"/>
      <w:r w:rsidRPr="006D6427">
        <w:rPr>
          <w:i/>
          <w:iCs/>
          <w:szCs w:val="22"/>
          <w:lang w:val="fr-FR"/>
        </w:rPr>
        <w:t>, tant en Suisse qu'à l'international </w:t>
      </w:r>
      <w:r w:rsidRPr="006D6427">
        <w:rPr>
          <w:szCs w:val="22"/>
          <w:lang w:val="fr-FR"/>
        </w:rPr>
        <w:t>».</w:t>
      </w:r>
    </w:p>
    <w:p w14:paraId="50BF0053" w14:textId="0EA4B522" w:rsidR="00E76745" w:rsidRPr="006D6427" w:rsidRDefault="00E76745" w:rsidP="00E76745">
      <w:pPr>
        <w:jc w:val="both"/>
        <w:rPr>
          <w:szCs w:val="22"/>
          <w:lang w:val="fr-FR"/>
        </w:rPr>
      </w:pPr>
      <w:r w:rsidRPr="006D6427">
        <w:rPr>
          <w:szCs w:val="22"/>
          <w:lang w:val="fr-FR"/>
        </w:rPr>
        <w:t>- « </w:t>
      </w:r>
      <w:r w:rsidRPr="006D6427">
        <w:rPr>
          <w:i/>
          <w:iCs/>
          <w:szCs w:val="22"/>
          <w:lang w:val="fr-FR"/>
        </w:rPr>
        <w:t>que la Maison Jaeger-</w:t>
      </w:r>
      <w:proofErr w:type="spellStart"/>
      <w:r w:rsidRPr="006D6427">
        <w:rPr>
          <w:i/>
          <w:iCs/>
          <w:szCs w:val="22"/>
          <w:lang w:val="fr-FR"/>
        </w:rPr>
        <w:t>LeCoultre</w:t>
      </w:r>
      <w:proofErr w:type="spellEnd"/>
      <w:r w:rsidRPr="006D6427">
        <w:rPr>
          <w:i/>
          <w:iCs/>
          <w:szCs w:val="22"/>
          <w:lang w:val="fr-FR"/>
        </w:rPr>
        <w:t xml:space="preserve"> (…), utilise la marque REVERSO depuis 1931 pour désigner des montres </w:t>
      </w:r>
      <w:r w:rsidRPr="006D6427">
        <w:rPr>
          <w:szCs w:val="22"/>
          <w:lang w:val="fr-FR"/>
        </w:rPr>
        <w:t>»,</w:t>
      </w:r>
    </w:p>
    <w:p w14:paraId="4A7C4772" w14:textId="394AE649" w:rsidR="00E76745" w:rsidRPr="006D6427" w:rsidRDefault="00E76745" w:rsidP="00E76745">
      <w:pPr>
        <w:jc w:val="both"/>
        <w:rPr>
          <w:szCs w:val="22"/>
          <w:lang w:val="fr-FR"/>
        </w:rPr>
      </w:pPr>
      <w:r w:rsidRPr="006D6427">
        <w:rPr>
          <w:szCs w:val="22"/>
          <w:lang w:val="fr-FR"/>
        </w:rPr>
        <w:t>- « </w:t>
      </w:r>
      <w:r w:rsidRPr="006D6427">
        <w:rPr>
          <w:i/>
          <w:iCs/>
          <w:szCs w:val="22"/>
          <w:lang w:val="fr-FR"/>
        </w:rPr>
        <w:t>que la marque REVERSO est largement connue dans de nombreux pays de l'Union Européenne, tant des professionnels de l'horlogerie que d'un très large public, comme désignant une montre iconique commercialisée depuis 1931 par la Maison Jaeger-</w:t>
      </w:r>
      <w:proofErr w:type="spellStart"/>
      <w:r w:rsidRPr="006D6427">
        <w:rPr>
          <w:i/>
          <w:iCs/>
          <w:szCs w:val="22"/>
          <w:lang w:val="fr-FR"/>
        </w:rPr>
        <w:t>LeCoultre</w:t>
      </w:r>
      <w:proofErr w:type="spellEnd"/>
      <w:r w:rsidRPr="006D6427">
        <w:rPr>
          <w:i/>
          <w:iCs/>
          <w:szCs w:val="22"/>
          <w:lang w:val="fr-FR"/>
        </w:rPr>
        <w:t> </w:t>
      </w:r>
      <w:r w:rsidRPr="006D6427">
        <w:rPr>
          <w:szCs w:val="22"/>
          <w:lang w:val="fr-FR"/>
        </w:rPr>
        <w:t>» ;</w:t>
      </w:r>
    </w:p>
    <w:p w14:paraId="1CCDC259" w14:textId="48C946CC" w:rsidR="00E76745" w:rsidRPr="006D6427" w:rsidRDefault="00E76745" w:rsidP="00E76745">
      <w:pPr>
        <w:jc w:val="both"/>
        <w:rPr>
          <w:szCs w:val="22"/>
          <w:lang w:val="fr-FR"/>
        </w:rPr>
      </w:pPr>
      <w:r w:rsidRPr="006D6427">
        <w:rPr>
          <w:szCs w:val="22"/>
          <w:lang w:val="fr-FR"/>
        </w:rPr>
        <w:t>- « </w:t>
      </w:r>
      <w:r w:rsidRPr="006D6427">
        <w:rPr>
          <w:i/>
          <w:iCs/>
          <w:szCs w:val="22"/>
          <w:lang w:val="fr-FR"/>
        </w:rPr>
        <w:t>que la communication régulière autour des produits REVERSO auprès du public européen a renforcé la notoriété de cette dernière non seulement pour des montres mais également pour des pièces de mouvements d'horlogerie </w:t>
      </w:r>
      <w:r w:rsidRPr="006D6427">
        <w:rPr>
          <w:szCs w:val="22"/>
          <w:lang w:val="fr-FR"/>
        </w:rPr>
        <w:t>».</w:t>
      </w:r>
    </w:p>
    <w:p w14:paraId="1CA59352" w14:textId="77777777" w:rsidR="00E76745" w:rsidRPr="006D6427" w:rsidRDefault="00E76745" w:rsidP="00E76745">
      <w:pPr>
        <w:jc w:val="both"/>
        <w:rPr>
          <w:szCs w:val="22"/>
          <w:lang w:val="fr-FR"/>
        </w:rPr>
      </w:pPr>
    </w:p>
    <w:p w14:paraId="1711731A" w14:textId="77777777" w:rsidR="00E76745" w:rsidRPr="006D6427" w:rsidRDefault="00E76745" w:rsidP="00E76745">
      <w:pPr>
        <w:jc w:val="both"/>
        <w:rPr>
          <w:szCs w:val="22"/>
          <w:lang w:val="fr-FR"/>
        </w:rPr>
      </w:pPr>
      <w:r w:rsidRPr="006D6427">
        <w:rPr>
          <w:szCs w:val="22"/>
          <w:lang w:val="fr-FR"/>
        </w:rPr>
        <w:t>Et par conséquent :</w:t>
      </w:r>
    </w:p>
    <w:p w14:paraId="13797CC6" w14:textId="77777777" w:rsidR="00E76745" w:rsidRPr="006D6427" w:rsidRDefault="00E76745" w:rsidP="00E76745">
      <w:pPr>
        <w:jc w:val="both"/>
        <w:rPr>
          <w:szCs w:val="22"/>
          <w:lang w:val="fr-FR"/>
        </w:rPr>
      </w:pPr>
    </w:p>
    <w:p w14:paraId="36B4609E" w14:textId="14A837C7" w:rsidR="00E76745" w:rsidRPr="006D6427" w:rsidRDefault="00E76745" w:rsidP="00E76745">
      <w:pPr>
        <w:jc w:val="both"/>
        <w:rPr>
          <w:szCs w:val="22"/>
          <w:lang w:val="fr-FR"/>
        </w:rPr>
      </w:pPr>
      <w:r w:rsidRPr="006D6427">
        <w:rPr>
          <w:szCs w:val="22"/>
          <w:lang w:val="fr-FR"/>
        </w:rPr>
        <w:t>- « </w:t>
      </w:r>
      <w:r w:rsidRPr="006D6427">
        <w:rPr>
          <w:i/>
          <w:iCs/>
          <w:szCs w:val="22"/>
          <w:lang w:val="fr-FR"/>
        </w:rPr>
        <w:t>que la marque REVERSO est largement connue depuis de nombreuses années par les professionnels de l'horlogerie ainsi que par un très large public dans de nombreux pays de l'Union Européenne pour des montres, en particulier le mécanisme permettant de protéger la montre côté face (vitre et cadran) en l'escamotant « au verso » »</w:t>
      </w:r>
    </w:p>
    <w:p w14:paraId="40EB5914" w14:textId="5BB16D20" w:rsidR="00E76745" w:rsidRPr="006D6427" w:rsidRDefault="00E76745" w:rsidP="00E76745">
      <w:pPr>
        <w:jc w:val="both"/>
        <w:rPr>
          <w:szCs w:val="22"/>
          <w:lang w:val="fr-FR"/>
        </w:rPr>
      </w:pPr>
      <w:r w:rsidRPr="006D6427">
        <w:rPr>
          <w:szCs w:val="22"/>
          <w:lang w:val="fr-FR"/>
        </w:rPr>
        <w:t>- « </w:t>
      </w:r>
      <w:r w:rsidRPr="006D6427">
        <w:rPr>
          <w:i/>
          <w:iCs/>
          <w:szCs w:val="22"/>
          <w:lang w:val="fr-FR"/>
        </w:rPr>
        <w:t>que cette connaissance de la marque REVERSO s'étend également et depuis de nombreuses années aux accessoires d'horlogerie, tels que notamment les pièces de mouvements d'horlogerie </w:t>
      </w:r>
      <w:r w:rsidRPr="006D6427">
        <w:rPr>
          <w:szCs w:val="22"/>
          <w:lang w:val="fr-FR"/>
        </w:rPr>
        <w:t>».</w:t>
      </w:r>
    </w:p>
    <w:p w14:paraId="1FC51947" w14:textId="77777777" w:rsidR="00E76745" w:rsidRPr="006D6427" w:rsidRDefault="00E76745" w:rsidP="00E76745">
      <w:pPr>
        <w:jc w:val="both"/>
        <w:rPr>
          <w:szCs w:val="22"/>
          <w:lang w:val="fr-FR"/>
        </w:rPr>
      </w:pPr>
    </w:p>
    <w:p w14:paraId="6767776E" w14:textId="5E2928C3" w:rsidR="00E76745" w:rsidRPr="006D6427" w:rsidRDefault="00E76745" w:rsidP="00E76745">
      <w:pPr>
        <w:jc w:val="both"/>
        <w:rPr>
          <w:szCs w:val="22"/>
          <w:lang w:val="fr-FR"/>
        </w:rPr>
      </w:pPr>
      <w:r w:rsidRPr="006D6427">
        <w:rPr>
          <w:b/>
          <w:bCs/>
          <w:szCs w:val="22"/>
          <w:lang w:val="fr-FR"/>
        </w:rPr>
        <w:t>Annexe 19 :</w:t>
      </w:r>
      <w:r w:rsidRPr="006D6427">
        <w:rPr>
          <w:szCs w:val="22"/>
          <w:lang w:val="fr-FR"/>
        </w:rPr>
        <w:t xml:space="preserve"> Décisions de l’EUIPO concernant l’atteinte à la renommée dans des affaires que l’opposante juge similaires. </w:t>
      </w:r>
    </w:p>
    <w:p w14:paraId="075DB179" w14:textId="77777777" w:rsidR="00E76745" w:rsidRPr="006D6427" w:rsidRDefault="00E76745" w:rsidP="00E76745">
      <w:pPr>
        <w:jc w:val="both"/>
        <w:rPr>
          <w:szCs w:val="22"/>
          <w:lang w:val="fr-FR"/>
        </w:rPr>
      </w:pPr>
    </w:p>
    <w:p w14:paraId="306E21C2" w14:textId="641E7269" w:rsidR="00E76745" w:rsidRPr="006D6427" w:rsidRDefault="00E76745" w:rsidP="00E76745">
      <w:pPr>
        <w:jc w:val="both"/>
        <w:rPr>
          <w:szCs w:val="22"/>
          <w:lang w:val="fr-FR"/>
        </w:rPr>
      </w:pPr>
      <w:r w:rsidRPr="006D6427">
        <w:rPr>
          <w:b/>
          <w:bCs/>
          <w:szCs w:val="22"/>
          <w:lang w:val="fr-FR"/>
        </w:rPr>
        <w:t>Annexe 20 :</w:t>
      </w:r>
      <w:r w:rsidRPr="006D6427">
        <w:rPr>
          <w:szCs w:val="22"/>
          <w:lang w:val="fr-FR"/>
        </w:rPr>
        <w:t xml:space="preserve"> Liste des marques REVERSO en classe 14 dans l’Union Européenne </w:t>
      </w:r>
    </w:p>
    <w:p w14:paraId="0C11EF2A" w14:textId="5AC38A2D" w:rsidR="00E76745" w:rsidRPr="006D6427" w:rsidRDefault="00E76745" w:rsidP="00E76745">
      <w:pPr>
        <w:jc w:val="both"/>
        <w:rPr>
          <w:szCs w:val="22"/>
          <w:lang w:val="fr-FR"/>
        </w:rPr>
      </w:pPr>
      <w:r w:rsidRPr="006D6427">
        <w:rPr>
          <w:szCs w:val="22"/>
          <w:lang w:val="fr-FR"/>
        </w:rPr>
        <w:t> </w:t>
      </w:r>
    </w:p>
    <w:p w14:paraId="0C94405B" w14:textId="3BC19276" w:rsidR="008F7AF4" w:rsidRPr="006D6427" w:rsidRDefault="00E76745" w:rsidP="00E76745">
      <w:pPr>
        <w:jc w:val="both"/>
        <w:rPr>
          <w:szCs w:val="22"/>
          <w:lang w:val="fr-FR"/>
        </w:rPr>
      </w:pPr>
      <w:r w:rsidRPr="006D6427">
        <w:rPr>
          <w:szCs w:val="22"/>
          <w:lang w:val="fr-FR"/>
        </w:rPr>
        <w:t xml:space="preserve">Il ressort clairement des preuves produites, et plus particulièrement des articles de presse parus en France et en Belgique, que la marque antérieure a fait l’objet d’un usage long et intensif et qu’elle est généralement connue sur le marché </w:t>
      </w:r>
      <w:r w:rsidR="00E05B1B" w:rsidRPr="006D6427">
        <w:rPr>
          <w:szCs w:val="22"/>
          <w:lang w:val="fr-FR"/>
        </w:rPr>
        <w:t>de l’horlogerie</w:t>
      </w:r>
      <w:r w:rsidRPr="006D6427">
        <w:rPr>
          <w:szCs w:val="22"/>
          <w:lang w:val="fr-FR"/>
        </w:rPr>
        <w:t>,</w:t>
      </w:r>
      <w:r w:rsidR="00E05B1B" w:rsidRPr="006D6427">
        <w:rPr>
          <w:szCs w:val="22"/>
          <w:lang w:val="fr-FR"/>
        </w:rPr>
        <w:t xml:space="preserve"> en particulier pour des montres. Bien que l’opposante n’ait pas fourni de chiffres d’affaires au soutien de sa revendication, il apparaît que la marque </w:t>
      </w:r>
      <w:r w:rsidRPr="006D6427">
        <w:rPr>
          <w:szCs w:val="22"/>
          <w:lang w:val="fr-FR"/>
        </w:rPr>
        <w:t xml:space="preserve">occupe une position solide parmi les marques leaders du marché, comme en attestent diverses sources indépendantes. Les placements de produits et les diverses références dans la presse au succès de la marque constituent des circonstances établissant sans aucune équivoque que la marque jouit d’un degré élevé de reconnaissance auprès du public français et la partie francophone du public de Belgique. </w:t>
      </w:r>
      <w:r w:rsidR="008F7AF4" w:rsidRPr="006D6427">
        <w:rPr>
          <w:szCs w:val="22"/>
          <w:lang w:val="fr-FR"/>
        </w:rPr>
        <w:t>Ainsi, la division d’opposition conclut que la marque antérieure a acquis une renommée et, dès lors, caractère distinctif élevé par l’usage qui en a été fait sur le marché</w:t>
      </w:r>
      <w:r w:rsidR="00E75ACF" w:rsidRPr="006D6427">
        <w:rPr>
          <w:szCs w:val="22"/>
          <w:lang w:val="fr-FR"/>
        </w:rPr>
        <w:t xml:space="preserve"> pour des </w:t>
      </w:r>
      <w:r w:rsidR="00E05B1B" w:rsidRPr="006D6427">
        <w:rPr>
          <w:szCs w:val="22"/>
          <w:lang w:val="fr-FR"/>
        </w:rPr>
        <w:t>montres</w:t>
      </w:r>
      <w:r w:rsidR="008F7AF4" w:rsidRPr="006D6427">
        <w:rPr>
          <w:szCs w:val="22"/>
          <w:lang w:val="fr-FR"/>
        </w:rPr>
        <w:t>.</w:t>
      </w:r>
    </w:p>
    <w:p w14:paraId="73729107" w14:textId="77777777" w:rsidR="008F7AF4" w:rsidRPr="006D6427" w:rsidRDefault="008F7AF4" w:rsidP="00E76745">
      <w:pPr>
        <w:jc w:val="both"/>
        <w:rPr>
          <w:szCs w:val="22"/>
          <w:lang w:val="fr-FR"/>
        </w:rPr>
      </w:pPr>
    </w:p>
    <w:p w14:paraId="4B08CDF1" w14:textId="2E75ACCA" w:rsidR="00E76745" w:rsidRPr="006D6427" w:rsidRDefault="00E76745" w:rsidP="00E76745">
      <w:pPr>
        <w:jc w:val="both"/>
        <w:rPr>
          <w:szCs w:val="22"/>
          <w:lang w:val="fr-FR"/>
        </w:rPr>
      </w:pPr>
      <w:r w:rsidRPr="006D6427">
        <w:rPr>
          <w:szCs w:val="22"/>
          <w:lang w:val="fr-FR"/>
        </w:rPr>
        <w:t>Toutefois, dès lors que les pièces apportées se réfèrent principalement au marché français et belge francophone, et compte tenu du fait que la documentation se référant au marché mondial concerne essentiellement des pays hors du territoire pertinent (territoire constitué, rappelons-le, uniquement de l’Allemagne, l’Autriche, le Benelux, la Bulgarie, la Croatie, le Danemark, l’Espagne, l’Estonie, la Finlande, la France, la Hongrie, l’Italie, la Lettonie, la Lituanie, la Pologne, le Portugal, la Roumanie, le République tchèque, la Slovaquie, la Slovénie, et la Suède), cette document</w:t>
      </w:r>
      <w:r w:rsidR="008F7AF4" w:rsidRPr="006D6427">
        <w:rPr>
          <w:szCs w:val="22"/>
          <w:lang w:val="fr-FR"/>
        </w:rPr>
        <w:t>ation</w:t>
      </w:r>
      <w:r w:rsidRPr="006D6427">
        <w:rPr>
          <w:szCs w:val="22"/>
          <w:lang w:val="fr-FR"/>
        </w:rPr>
        <w:t xml:space="preserve"> ne suffit pas à démontrer que la marque antérieure jouit d’une renommée ailleurs qu’en France et</w:t>
      </w:r>
      <w:r w:rsidR="008F7AF4" w:rsidRPr="006D6427">
        <w:rPr>
          <w:szCs w:val="22"/>
          <w:lang w:val="fr-FR"/>
        </w:rPr>
        <w:t xml:space="preserve"> dans la partie francophone de la Belgique</w:t>
      </w:r>
      <w:r w:rsidRPr="006D6427">
        <w:rPr>
          <w:szCs w:val="22"/>
          <w:lang w:val="fr-FR"/>
        </w:rPr>
        <w:t xml:space="preserve"> pour ce qui concerne la désignation du Benelux.</w:t>
      </w:r>
    </w:p>
    <w:p w14:paraId="179EED21" w14:textId="77777777" w:rsidR="00E76745" w:rsidRPr="006D6427" w:rsidRDefault="00E76745" w:rsidP="00532E50">
      <w:pPr>
        <w:rPr>
          <w:szCs w:val="22"/>
          <w:lang w:val="fr-FR"/>
        </w:rPr>
      </w:pPr>
    </w:p>
    <w:p w14:paraId="25C54EB8" w14:textId="77777777" w:rsidR="00DB174B" w:rsidRPr="006D6427" w:rsidRDefault="00DB174B" w:rsidP="00532E50">
      <w:pPr>
        <w:rPr>
          <w:szCs w:val="22"/>
          <w:lang w:val="fr-FR"/>
        </w:rPr>
      </w:pPr>
    </w:p>
    <w:p w14:paraId="478A7DA5" w14:textId="747B6372" w:rsidR="003E1EF4" w:rsidRPr="006D6427" w:rsidRDefault="005453F4" w:rsidP="00DB174B">
      <w:pPr>
        <w:keepNext/>
        <w:jc w:val="both"/>
        <w:rPr>
          <w:szCs w:val="22"/>
          <w:lang w:val="fr-FR"/>
        </w:rPr>
      </w:pPr>
      <w:bookmarkStart w:id="5" w:name="chk-paragraph-9-3_nodeId--1128870563"/>
      <w:bookmarkEnd w:id="4"/>
      <w:r w:rsidRPr="006D6427">
        <w:rPr>
          <w:b/>
          <w:szCs w:val="22"/>
          <w:lang w:val="fr-FR"/>
        </w:rPr>
        <w:lastRenderedPageBreak/>
        <w:t>RISQUE DE CONFUSION – ARTICLE 8, PARAGRAPHE 1, POINT b), DU RMUE</w:t>
      </w:r>
    </w:p>
    <w:p w14:paraId="478A7DA6" w14:textId="54A6AC79" w:rsidR="003E1EF4" w:rsidRPr="006D6427" w:rsidRDefault="005453F4" w:rsidP="00DB174B">
      <w:pPr>
        <w:keepNext/>
        <w:jc w:val="both"/>
        <w:rPr>
          <w:szCs w:val="22"/>
          <w:lang w:val="fr-FR"/>
        </w:rPr>
      </w:pPr>
      <w:r w:rsidRPr="006D6427">
        <w:rPr>
          <w:szCs w:val="22"/>
          <w:lang w:val="fr-FR"/>
        </w:rPr>
        <w:t> </w:t>
      </w:r>
    </w:p>
    <w:p w14:paraId="478A7DA9" w14:textId="10107D30" w:rsidR="003E1EF4" w:rsidRPr="006D6427" w:rsidRDefault="005453F4" w:rsidP="00532E50">
      <w:pPr>
        <w:jc w:val="both"/>
        <w:rPr>
          <w:szCs w:val="22"/>
          <w:lang w:val="fr-FR"/>
        </w:rPr>
      </w:pPr>
      <w:r w:rsidRPr="006D6427">
        <w:rPr>
          <w:szCs w:val="22"/>
          <w:lang w:val="fr-FR"/>
        </w:rPr>
        <w:t>Conformément à l'article 8, paragraphe 1, point b) du RMUE, le</w:t>
      </w:r>
      <w:r w:rsidR="006D6427" w:rsidRPr="006D6427">
        <w:rPr>
          <w:szCs w:val="22"/>
          <w:lang w:val="fr-FR"/>
        </w:rPr>
        <w:t xml:space="preserve"> </w:t>
      </w:r>
      <w:r w:rsidRPr="006D6427">
        <w:rPr>
          <w:szCs w:val="22"/>
          <w:lang w:val="fr-FR"/>
        </w:rPr>
        <w:t>risque de confusion est le risque que le public puisse croire que les produits ou les services en cause, à condition de porter les marques en cause, proviennent de la même entreprise ou, le cas échéant, d’entreprises liées économiquement. L’existence d’un risque de confusion doit être appréciée globalement en tenant compte de plusieurs facteurs interdépendants. Ces facteurs incluent la similitude des signes, la similitude des produits et services, le caractère distinctif de la marque antérieure, les éléments distinctifs et dominants des signes en litige et le public pertinent.</w:t>
      </w:r>
    </w:p>
    <w:p w14:paraId="478A7DAA" w14:textId="721814B1" w:rsidR="003E1EF4" w:rsidRPr="006D6427" w:rsidRDefault="005453F4" w:rsidP="00532E50">
      <w:pPr>
        <w:jc w:val="both"/>
        <w:rPr>
          <w:szCs w:val="22"/>
          <w:lang w:val="fr-FR"/>
        </w:rPr>
      </w:pPr>
      <w:r w:rsidRPr="006D6427">
        <w:rPr>
          <w:szCs w:val="22"/>
          <w:lang w:val="fr-FR"/>
        </w:rPr>
        <w:t> </w:t>
      </w:r>
    </w:p>
    <w:p w14:paraId="478A7DB2" w14:textId="1F1F7C32" w:rsidR="003E1EF4" w:rsidRPr="006D6427" w:rsidRDefault="005453F4" w:rsidP="00532E50">
      <w:pPr>
        <w:jc w:val="both"/>
        <w:rPr>
          <w:szCs w:val="22"/>
          <w:lang w:val="fr-FR"/>
        </w:rPr>
      </w:pPr>
      <w:r w:rsidRPr="006D6427">
        <w:rPr>
          <w:szCs w:val="22"/>
          <w:lang w:val="fr-FR"/>
        </w:rPr>
        <w:t> </w:t>
      </w:r>
    </w:p>
    <w:p w14:paraId="478A7DB3" w14:textId="79FC18D1" w:rsidR="003E1EF4" w:rsidRPr="006D6427" w:rsidRDefault="005453F4" w:rsidP="00532E50">
      <w:pPr>
        <w:jc w:val="both"/>
        <w:rPr>
          <w:szCs w:val="22"/>
          <w:lang w:val="fr-FR"/>
        </w:rPr>
      </w:pPr>
      <w:bookmarkStart w:id="6" w:name="chk-paragraph-9-3-1_nodeId-537559823"/>
      <w:bookmarkEnd w:id="5"/>
      <w:r w:rsidRPr="006D6427">
        <w:rPr>
          <w:b/>
          <w:szCs w:val="22"/>
          <w:lang w:val="fr-FR"/>
        </w:rPr>
        <w:t>a) Les</w:t>
      </w:r>
      <w:r w:rsidR="006D6427" w:rsidRPr="006D6427">
        <w:rPr>
          <w:b/>
          <w:szCs w:val="22"/>
          <w:lang w:val="fr-FR"/>
        </w:rPr>
        <w:t xml:space="preserve"> </w:t>
      </w:r>
      <w:r w:rsidRPr="006D6427">
        <w:rPr>
          <w:b/>
          <w:szCs w:val="22"/>
          <w:lang w:val="fr-FR"/>
        </w:rPr>
        <w:t>produits</w:t>
      </w:r>
    </w:p>
    <w:p w14:paraId="478A7DB4" w14:textId="572A31E9" w:rsidR="003E1EF4" w:rsidRPr="006D6427" w:rsidRDefault="005453F4" w:rsidP="00532E50">
      <w:pPr>
        <w:jc w:val="both"/>
        <w:rPr>
          <w:szCs w:val="22"/>
          <w:lang w:val="fr-FR"/>
        </w:rPr>
      </w:pPr>
      <w:r w:rsidRPr="006D6427">
        <w:rPr>
          <w:szCs w:val="22"/>
          <w:lang w:val="fr-FR"/>
        </w:rPr>
        <w:t> </w:t>
      </w:r>
    </w:p>
    <w:p w14:paraId="478A7DB5" w14:textId="573D55C8" w:rsidR="003E1EF4" w:rsidRPr="006D6427" w:rsidRDefault="005453F4" w:rsidP="00532E50">
      <w:pPr>
        <w:jc w:val="both"/>
        <w:rPr>
          <w:szCs w:val="22"/>
          <w:lang w:val="fr-FR"/>
        </w:rPr>
      </w:pPr>
      <w:r w:rsidRPr="006D6427">
        <w:rPr>
          <w:szCs w:val="22"/>
          <w:lang w:val="fr-FR"/>
        </w:rPr>
        <w:t>Les</w:t>
      </w:r>
      <w:r w:rsidR="00532E50" w:rsidRPr="006D6427">
        <w:rPr>
          <w:szCs w:val="22"/>
          <w:lang w:val="fr-FR"/>
        </w:rPr>
        <w:t xml:space="preserve"> </w:t>
      </w:r>
      <w:r w:rsidRPr="006D6427">
        <w:rPr>
          <w:szCs w:val="22"/>
          <w:lang w:val="fr-FR"/>
        </w:rPr>
        <w:t>produits</w:t>
      </w:r>
      <w:r w:rsidR="00532E50" w:rsidRPr="006D6427">
        <w:rPr>
          <w:szCs w:val="22"/>
          <w:lang w:val="fr-FR"/>
        </w:rPr>
        <w:t xml:space="preserve"> </w:t>
      </w:r>
      <w:r w:rsidRPr="006D6427">
        <w:rPr>
          <w:szCs w:val="22"/>
          <w:lang w:val="fr-FR"/>
        </w:rPr>
        <w:t xml:space="preserve">sur lesquels est fondée l’opposition </w:t>
      </w:r>
      <w:proofErr w:type="gramStart"/>
      <w:r w:rsidRPr="006D6427">
        <w:rPr>
          <w:szCs w:val="22"/>
          <w:lang w:val="fr-FR"/>
        </w:rPr>
        <w:t>sont:</w:t>
      </w:r>
      <w:proofErr w:type="gramEnd"/>
    </w:p>
    <w:p w14:paraId="478A7DB6" w14:textId="37C534E2" w:rsidR="003E1EF4" w:rsidRPr="006D6427" w:rsidRDefault="005453F4" w:rsidP="00532E50">
      <w:pPr>
        <w:jc w:val="both"/>
        <w:rPr>
          <w:szCs w:val="22"/>
          <w:lang w:val="fr-FR"/>
        </w:rPr>
      </w:pPr>
      <w:r w:rsidRPr="006D6427">
        <w:rPr>
          <w:szCs w:val="22"/>
          <w:lang w:val="fr-FR"/>
        </w:rPr>
        <w:t> </w:t>
      </w:r>
    </w:p>
    <w:p w14:paraId="478A7DB9" w14:textId="77777777" w:rsidR="003E1EF4" w:rsidRPr="006D6427" w:rsidRDefault="005453F4" w:rsidP="00532E50">
      <w:pPr>
        <w:jc w:val="both"/>
        <w:rPr>
          <w:szCs w:val="22"/>
          <w:lang w:val="fr-FR"/>
        </w:rPr>
      </w:pPr>
      <w:r w:rsidRPr="006D6427">
        <w:rPr>
          <w:szCs w:val="22"/>
          <w:lang w:val="fr-FR"/>
        </w:rPr>
        <w:t xml:space="preserve">Classe </w:t>
      </w:r>
      <w:proofErr w:type="gramStart"/>
      <w:r w:rsidRPr="006D6427">
        <w:rPr>
          <w:szCs w:val="22"/>
          <w:lang w:val="fr-FR"/>
        </w:rPr>
        <w:t>14:</w:t>
      </w:r>
      <w:proofErr w:type="gramEnd"/>
      <w:r w:rsidRPr="006D6427">
        <w:rPr>
          <w:szCs w:val="22"/>
          <w:lang w:val="fr-FR"/>
        </w:rPr>
        <w:t xml:space="preserve"> </w:t>
      </w:r>
      <w:r w:rsidRPr="006D6427">
        <w:rPr>
          <w:i/>
          <w:szCs w:val="22"/>
          <w:lang w:val="fr-FR"/>
        </w:rPr>
        <w:t xml:space="preserve">Métaux précieux et leurs alliages et produits en ces matières ou en plaqué compris dans cette </w:t>
      </w:r>
      <w:proofErr w:type="gramStart"/>
      <w:r w:rsidRPr="006D6427">
        <w:rPr>
          <w:i/>
          <w:szCs w:val="22"/>
          <w:lang w:val="fr-FR"/>
        </w:rPr>
        <w:t>classe;</w:t>
      </w:r>
      <w:proofErr w:type="gramEnd"/>
      <w:r w:rsidRPr="006D6427">
        <w:rPr>
          <w:i/>
          <w:szCs w:val="22"/>
          <w:lang w:val="fr-FR"/>
        </w:rPr>
        <w:t xml:space="preserve"> joaillerie, bijouterie, pierres </w:t>
      </w:r>
      <w:proofErr w:type="gramStart"/>
      <w:r w:rsidRPr="006D6427">
        <w:rPr>
          <w:i/>
          <w:szCs w:val="22"/>
          <w:lang w:val="fr-FR"/>
        </w:rPr>
        <w:t>précieuses;</w:t>
      </w:r>
      <w:proofErr w:type="gramEnd"/>
      <w:r w:rsidRPr="006D6427">
        <w:rPr>
          <w:i/>
          <w:szCs w:val="22"/>
          <w:lang w:val="fr-FR"/>
        </w:rPr>
        <w:t xml:space="preserve"> horlogerie et instruments chronométriques, mouvements de montres, parties de </w:t>
      </w:r>
      <w:proofErr w:type="gramStart"/>
      <w:r w:rsidRPr="006D6427">
        <w:rPr>
          <w:i/>
          <w:szCs w:val="22"/>
          <w:lang w:val="fr-FR"/>
        </w:rPr>
        <w:t>montres;</w:t>
      </w:r>
      <w:proofErr w:type="gramEnd"/>
      <w:r w:rsidRPr="006D6427">
        <w:rPr>
          <w:i/>
          <w:szCs w:val="22"/>
          <w:lang w:val="fr-FR"/>
        </w:rPr>
        <w:t xml:space="preserve"> appareils pour la mesure du temps, pendulettes.</w:t>
      </w:r>
    </w:p>
    <w:p w14:paraId="7A602692" w14:textId="77777777" w:rsidR="004A2902" w:rsidRPr="006D6427" w:rsidRDefault="004A2902" w:rsidP="004A2902">
      <w:pPr>
        <w:rPr>
          <w:szCs w:val="22"/>
          <w:lang w:val="fr-FR"/>
        </w:rPr>
      </w:pPr>
    </w:p>
    <w:p w14:paraId="478A7DBE" w14:textId="4594D946" w:rsidR="003E1EF4" w:rsidRPr="006D6427" w:rsidRDefault="005453F4" w:rsidP="004A2902">
      <w:pPr>
        <w:rPr>
          <w:szCs w:val="22"/>
          <w:lang w:val="fr-FR"/>
        </w:rPr>
      </w:pPr>
      <w:r w:rsidRPr="006D6427">
        <w:rPr>
          <w:szCs w:val="22"/>
          <w:lang w:val="fr-FR"/>
        </w:rPr>
        <w:t>Les</w:t>
      </w:r>
      <w:r w:rsidR="00532E50" w:rsidRPr="006D6427">
        <w:rPr>
          <w:szCs w:val="22"/>
          <w:lang w:val="fr-FR"/>
        </w:rPr>
        <w:t xml:space="preserve"> </w:t>
      </w:r>
      <w:r w:rsidRPr="006D6427">
        <w:rPr>
          <w:szCs w:val="22"/>
          <w:lang w:val="fr-FR"/>
        </w:rPr>
        <w:t>produits</w:t>
      </w:r>
      <w:r w:rsidR="00532E50" w:rsidRPr="006D6427">
        <w:rPr>
          <w:szCs w:val="22"/>
          <w:lang w:val="fr-FR"/>
        </w:rPr>
        <w:t xml:space="preserve"> </w:t>
      </w:r>
      <w:r w:rsidRPr="006D6427">
        <w:rPr>
          <w:szCs w:val="22"/>
          <w:lang w:val="fr-FR"/>
        </w:rPr>
        <w:t xml:space="preserve">contestés sont les </w:t>
      </w:r>
      <w:proofErr w:type="gramStart"/>
      <w:r w:rsidRPr="006D6427">
        <w:rPr>
          <w:szCs w:val="22"/>
          <w:lang w:val="fr-FR"/>
        </w:rPr>
        <w:t>suivants:</w:t>
      </w:r>
      <w:proofErr w:type="gramEnd"/>
    </w:p>
    <w:p w14:paraId="478A7DBF" w14:textId="174B2133" w:rsidR="003E1EF4" w:rsidRPr="006D6427" w:rsidRDefault="005453F4" w:rsidP="00532E50">
      <w:pPr>
        <w:jc w:val="both"/>
        <w:rPr>
          <w:szCs w:val="22"/>
          <w:lang w:val="fr-FR"/>
        </w:rPr>
      </w:pPr>
      <w:r w:rsidRPr="006D6427">
        <w:rPr>
          <w:szCs w:val="22"/>
          <w:lang w:val="fr-FR"/>
        </w:rPr>
        <w:t> </w:t>
      </w:r>
    </w:p>
    <w:p w14:paraId="478A7DC1" w14:textId="655FDD2C" w:rsidR="003E1EF4" w:rsidRPr="006D6427" w:rsidRDefault="005453F4" w:rsidP="00532E50">
      <w:pPr>
        <w:jc w:val="both"/>
        <w:rPr>
          <w:szCs w:val="22"/>
          <w:lang w:val="fr-FR"/>
        </w:rPr>
      </w:pPr>
      <w:r w:rsidRPr="006D6427">
        <w:rPr>
          <w:szCs w:val="22"/>
          <w:lang w:val="fr-FR"/>
        </w:rPr>
        <w:t xml:space="preserve">Classe </w:t>
      </w:r>
      <w:proofErr w:type="gramStart"/>
      <w:r w:rsidRPr="006D6427">
        <w:rPr>
          <w:szCs w:val="22"/>
          <w:lang w:val="fr-FR"/>
        </w:rPr>
        <w:t>14:</w:t>
      </w:r>
      <w:proofErr w:type="gramEnd"/>
      <w:r w:rsidRPr="006D6427">
        <w:rPr>
          <w:szCs w:val="22"/>
          <w:lang w:val="fr-FR"/>
        </w:rPr>
        <w:t xml:space="preserve"> </w:t>
      </w:r>
      <w:r w:rsidRPr="006D6427">
        <w:rPr>
          <w:i/>
          <w:szCs w:val="22"/>
          <w:lang w:val="fr-FR"/>
        </w:rPr>
        <w:t xml:space="preserve">Bracelets de montres en </w:t>
      </w:r>
      <w:r w:rsidR="00532E50" w:rsidRPr="006D6427">
        <w:rPr>
          <w:i/>
          <w:szCs w:val="22"/>
          <w:lang w:val="fr-FR"/>
        </w:rPr>
        <w:t xml:space="preserve">métal, en cuir ou en </w:t>
      </w:r>
      <w:proofErr w:type="gramStart"/>
      <w:r w:rsidR="00532E50" w:rsidRPr="006D6427">
        <w:rPr>
          <w:i/>
          <w:szCs w:val="22"/>
          <w:lang w:val="fr-FR"/>
        </w:rPr>
        <w:t>plastique;</w:t>
      </w:r>
      <w:proofErr w:type="gramEnd"/>
      <w:r w:rsidR="00532E50" w:rsidRPr="006D6427">
        <w:rPr>
          <w:i/>
          <w:szCs w:val="22"/>
          <w:lang w:val="fr-FR"/>
        </w:rPr>
        <w:t xml:space="preserve"> bracelets de montres en </w:t>
      </w:r>
      <w:proofErr w:type="gramStart"/>
      <w:r w:rsidR="00532E50" w:rsidRPr="006D6427">
        <w:rPr>
          <w:i/>
          <w:szCs w:val="22"/>
          <w:lang w:val="fr-FR"/>
        </w:rPr>
        <w:t>cuir;</w:t>
      </w:r>
      <w:proofErr w:type="gramEnd"/>
      <w:r w:rsidR="00532E50" w:rsidRPr="006D6427">
        <w:rPr>
          <w:i/>
          <w:szCs w:val="22"/>
          <w:lang w:val="fr-FR"/>
        </w:rPr>
        <w:t xml:space="preserve"> bracelets de montres non en </w:t>
      </w:r>
      <w:proofErr w:type="gramStart"/>
      <w:r w:rsidR="00532E50" w:rsidRPr="006D6427">
        <w:rPr>
          <w:i/>
          <w:szCs w:val="22"/>
          <w:lang w:val="fr-FR"/>
        </w:rPr>
        <w:t>cuir;</w:t>
      </w:r>
      <w:proofErr w:type="gramEnd"/>
      <w:r w:rsidR="00532E50" w:rsidRPr="006D6427">
        <w:rPr>
          <w:i/>
          <w:szCs w:val="22"/>
          <w:lang w:val="fr-FR"/>
        </w:rPr>
        <w:t xml:space="preserve"> bracelets de </w:t>
      </w:r>
      <w:proofErr w:type="gramStart"/>
      <w:r w:rsidR="00532E50" w:rsidRPr="006D6427">
        <w:rPr>
          <w:i/>
          <w:szCs w:val="22"/>
          <w:lang w:val="fr-FR"/>
        </w:rPr>
        <w:t>montres;</w:t>
      </w:r>
      <w:proofErr w:type="gramEnd"/>
      <w:r w:rsidR="00532E50" w:rsidRPr="006D6427">
        <w:rPr>
          <w:i/>
          <w:szCs w:val="22"/>
          <w:lang w:val="fr-FR"/>
        </w:rPr>
        <w:t xml:space="preserve"> bracelets de montres en matière </w:t>
      </w:r>
      <w:proofErr w:type="gramStart"/>
      <w:r w:rsidR="00532E50" w:rsidRPr="006D6427">
        <w:rPr>
          <w:i/>
          <w:szCs w:val="22"/>
          <w:lang w:val="fr-FR"/>
        </w:rPr>
        <w:t>synthétique;</w:t>
      </w:r>
      <w:proofErr w:type="gramEnd"/>
      <w:r w:rsidR="00532E50" w:rsidRPr="006D6427">
        <w:rPr>
          <w:i/>
          <w:szCs w:val="22"/>
          <w:lang w:val="fr-FR"/>
        </w:rPr>
        <w:t xml:space="preserve"> boucles pour bracelets de </w:t>
      </w:r>
      <w:proofErr w:type="gramStart"/>
      <w:r w:rsidR="00532E50" w:rsidRPr="006D6427">
        <w:rPr>
          <w:i/>
          <w:szCs w:val="22"/>
          <w:lang w:val="fr-FR"/>
        </w:rPr>
        <w:t>montre;</w:t>
      </w:r>
      <w:proofErr w:type="gramEnd"/>
      <w:r w:rsidR="00532E50" w:rsidRPr="006D6427">
        <w:rPr>
          <w:i/>
          <w:szCs w:val="22"/>
          <w:lang w:val="fr-FR"/>
        </w:rPr>
        <w:t xml:space="preserve"> fermoirs de </w:t>
      </w:r>
      <w:proofErr w:type="gramStart"/>
      <w:r w:rsidR="00532E50" w:rsidRPr="006D6427">
        <w:rPr>
          <w:i/>
          <w:szCs w:val="22"/>
          <w:lang w:val="fr-FR"/>
        </w:rPr>
        <w:t>montre;</w:t>
      </w:r>
      <w:proofErr w:type="gramEnd"/>
      <w:r w:rsidR="00532E50" w:rsidRPr="006D6427">
        <w:rPr>
          <w:i/>
          <w:szCs w:val="22"/>
          <w:lang w:val="fr-FR"/>
        </w:rPr>
        <w:t xml:space="preserve"> bracelets de montre </w:t>
      </w:r>
      <w:proofErr w:type="gramStart"/>
      <w:r w:rsidR="00532E50" w:rsidRPr="006D6427">
        <w:rPr>
          <w:i/>
          <w:szCs w:val="22"/>
          <w:lang w:val="fr-FR"/>
        </w:rPr>
        <w:t>métalliques;</w:t>
      </w:r>
      <w:proofErr w:type="gramEnd"/>
      <w:r w:rsidR="00532E50" w:rsidRPr="006D6427">
        <w:rPr>
          <w:i/>
          <w:szCs w:val="22"/>
          <w:lang w:val="fr-FR"/>
        </w:rPr>
        <w:t xml:space="preserve"> pièces de mouvements d'horlogerie</w:t>
      </w:r>
      <w:r w:rsidRPr="006D6427">
        <w:rPr>
          <w:i/>
          <w:szCs w:val="22"/>
          <w:lang w:val="fr-FR"/>
        </w:rPr>
        <w:t>.</w:t>
      </w:r>
    </w:p>
    <w:p w14:paraId="478A7DC2" w14:textId="77777777" w:rsidR="003E1EF4" w:rsidRPr="006D6427" w:rsidRDefault="003E1EF4" w:rsidP="00532E50">
      <w:pPr>
        <w:rPr>
          <w:szCs w:val="22"/>
          <w:lang w:val="fr-FR"/>
        </w:rPr>
      </w:pPr>
    </w:p>
    <w:p w14:paraId="23049A59" w14:textId="0F117653" w:rsidR="00532E50" w:rsidRPr="006D6427" w:rsidRDefault="00532E50" w:rsidP="00532E50">
      <w:pPr>
        <w:jc w:val="both"/>
        <w:rPr>
          <w:szCs w:val="22"/>
          <w:lang w:val="fr-FR"/>
        </w:rPr>
      </w:pPr>
      <w:bookmarkStart w:id="7" w:name="chk-paragraph-9-3-1-4_nodeId-2106898293"/>
      <w:bookmarkEnd w:id="6"/>
      <w:r w:rsidRPr="006D6427">
        <w:rPr>
          <w:iCs/>
          <w:szCs w:val="22"/>
          <w:lang w:val="fr-FR"/>
        </w:rPr>
        <w:t xml:space="preserve">Les produits contestés sont tous inclus dans </w:t>
      </w:r>
      <w:r w:rsidRPr="006D6427">
        <w:rPr>
          <w:szCs w:val="22"/>
          <w:lang w:val="fr-FR"/>
        </w:rPr>
        <w:t xml:space="preserve">la catégorie générale des </w:t>
      </w:r>
      <w:r w:rsidRPr="006D6427">
        <w:rPr>
          <w:i/>
          <w:szCs w:val="22"/>
          <w:lang w:val="fr-FR"/>
        </w:rPr>
        <w:t xml:space="preserve">parties de montres </w:t>
      </w:r>
      <w:r w:rsidRPr="006D6427">
        <w:rPr>
          <w:szCs w:val="22"/>
          <w:lang w:val="fr-FR"/>
        </w:rPr>
        <w:t xml:space="preserve">de l’opposante, ou se chevauchent avec ces dernières. Dès lors, ces produits sont </w:t>
      </w:r>
      <w:r w:rsidRPr="006D6427">
        <w:rPr>
          <w:szCs w:val="22"/>
          <w:u w:val="single"/>
          <w:lang w:val="fr-FR"/>
        </w:rPr>
        <w:t>identiques</w:t>
      </w:r>
      <w:r w:rsidRPr="006D6427">
        <w:rPr>
          <w:szCs w:val="22"/>
          <w:lang w:val="fr-FR"/>
        </w:rPr>
        <w:t>.</w:t>
      </w:r>
    </w:p>
    <w:p w14:paraId="0033C017" w14:textId="02A2052E" w:rsidR="00532E50" w:rsidRPr="006D6427" w:rsidRDefault="00532E50" w:rsidP="00532E50">
      <w:pPr>
        <w:jc w:val="both"/>
        <w:rPr>
          <w:szCs w:val="22"/>
          <w:lang w:val="fr-FR"/>
        </w:rPr>
      </w:pPr>
      <w:r w:rsidRPr="006D6427">
        <w:rPr>
          <w:i/>
          <w:szCs w:val="22"/>
          <w:lang w:val="fr-FR"/>
        </w:rPr>
        <w:t>.</w:t>
      </w:r>
    </w:p>
    <w:p w14:paraId="478A7DCE" w14:textId="597E5AA4" w:rsidR="003E1EF4" w:rsidRPr="006D6427" w:rsidRDefault="005453F4" w:rsidP="00532E50">
      <w:pPr>
        <w:jc w:val="both"/>
        <w:rPr>
          <w:szCs w:val="22"/>
          <w:lang w:val="fr-FR"/>
        </w:rPr>
      </w:pPr>
      <w:r w:rsidRPr="006D6427">
        <w:rPr>
          <w:szCs w:val="22"/>
          <w:lang w:val="fr-FR"/>
        </w:rPr>
        <w:t> </w:t>
      </w:r>
    </w:p>
    <w:p w14:paraId="478A7DE0" w14:textId="77777777" w:rsidR="003E1EF4" w:rsidRPr="006D6427" w:rsidRDefault="005453F4" w:rsidP="00532E50">
      <w:pPr>
        <w:jc w:val="both"/>
        <w:rPr>
          <w:szCs w:val="22"/>
          <w:lang w:val="fr-FR"/>
        </w:rPr>
      </w:pPr>
      <w:bookmarkStart w:id="8" w:name="chk-paragraph-9-3-2_nodeId-870269841"/>
      <w:bookmarkEnd w:id="7"/>
      <w:r w:rsidRPr="006D6427">
        <w:rPr>
          <w:b/>
          <w:szCs w:val="22"/>
          <w:lang w:val="fr-FR"/>
        </w:rPr>
        <w:t>b) Public pertinent – niveau d’attention</w:t>
      </w:r>
    </w:p>
    <w:p w14:paraId="478A7DE1" w14:textId="3CD14C45" w:rsidR="003E1EF4" w:rsidRPr="006D6427" w:rsidRDefault="005453F4" w:rsidP="00532E50">
      <w:pPr>
        <w:jc w:val="both"/>
        <w:rPr>
          <w:szCs w:val="22"/>
          <w:lang w:val="fr-FR"/>
        </w:rPr>
      </w:pPr>
      <w:r w:rsidRPr="006D6427">
        <w:rPr>
          <w:szCs w:val="22"/>
          <w:lang w:val="fr-FR"/>
        </w:rPr>
        <w:t> </w:t>
      </w:r>
    </w:p>
    <w:p w14:paraId="478A7DE4" w14:textId="77777777" w:rsidR="003E1EF4" w:rsidRPr="006D6427" w:rsidRDefault="005453F4" w:rsidP="00532E50">
      <w:pPr>
        <w:jc w:val="both"/>
        <w:rPr>
          <w:szCs w:val="22"/>
          <w:lang w:val="fr-FR"/>
        </w:rPr>
      </w:pPr>
      <w:r w:rsidRPr="006D6427">
        <w:rPr>
          <w:szCs w:val="22"/>
          <w:lang w:val="fr-FR"/>
        </w:rPr>
        <w:t xml:space="preserve">Le consommateur moyen de la catégorie de produits concernée est censé être normalement informé et raisonnablement attentif et avisé. Il y a lieu également de prendre en considération le fait que le niveau d’attention du consommateur moyen est susceptible de varier en fonction de la catégorie de produits ou services en cause (22/06/1999, C-342/97, Lloyd </w:t>
      </w:r>
      <w:proofErr w:type="spellStart"/>
      <w:r w:rsidRPr="006D6427">
        <w:rPr>
          <w:szCs w:val="22"/>
          <w:lang w:val="fr-FR"/>
        </w:rPr>
        <w:t>Schuhfabrik</w:t>
      </w:r>
      <w:proofErr w:type="spellEnd"/>
      <w:r w:rsidRPr="006D6427">
        <w:rPr>
          <w:szCs w:val="22"/>
          <w:lang w:val="fr-FR"/>
        </w:rPr>
        <w:t xml:space="preserve">, </w:t>
      </w:r>
      <w:proofErr w:type="gramStart"/>
      <w:r w:rsidRPr="006D6427">
        <w:rPr>
          <w:szCs w:val="22"/>
          <w:lang w:val="fr-FR"/>
        </w:rPr>
        <w:t>EU:C:1999:</w:t>
      </w:r>
      <w:proofErr w:type="gramEnd"/>
      <w:r w:rsidRPr="006D6427">
        <w:rPr>
          <w:szCs w:val="22"/>
          <w:lang w:val="fr-FR"/>
        </w:rPr>
        <w:t>323, § 26).</w:t>
      </w:r>
    </w:p>
    <w:p w14:paraId="478A7DE5" w14:textId="5D85CDF1" w:rsidR="003E1EF4" w:rsidRPr="006D6427" w:rsidRDefault="005453F4" w:rsidP="00532E50">
      <w:pPr>
        <w:jc w:val="both"/>
        <w:rPr>
          <w:szCs w:val="22"/>
          <w:lang w:val="fr-FR"/>
        </w:rPr>
      </w:pPr>
      <w:r w:rsidRPr="006D6427">
        <w:rPr>
          <w:szCs w:val="22"/>
          <w:lang w:val="fr-FR"/>
        </w:rPr>
        <w:t> </w:t>
      </w:r>
    </w:p>
    <w:p w14:paraId="478A7DE8" w14:textId="00A4142C" w:rsidR="003E1EF4" w:rsidRPr="006D6427" w:rsidRDefault="005453F4" w:rsidP="00532E50">
      <w:pPr>
        <w:jc w:val="both"/>
        <w:rPr>
          <w:szCs w:val="22"/>
          <w:lang w:val="fr-FR"/>
        </w:rPr>
      </w:pPr>
      <w:r w:rsidRPr="006D6427">
        <w:rPr>
          <w:szCs w:val="22"/>
          <w:lang w:val="fr-FR"/>
        </w:rPr>
        <w:t>En l’espèce, les</w:t>
      </w:r>
      <w:r w:rsidR="00532E50" w:rsidRPr="006D6427">
        <w:rPr>
          <w:szCs w:val="22"/>
          <w:lang w:val="fr-FR"/>
        </w:rPr>
        <w:t xml:space="preserve"> </w:t>
      </w:r>
      <w:r w:rsidRPr="006D6427">
        <w:rPr>
          <w:szCs w:val="22"/>
          <w:lang w:val="fr-FR"/>
        </w:rPr>
        <w:t>produits</w:t>
      </w:r>
      <w:r w:rsidR="00532E50" w:rsidRPr="006D6427">
        <w:rPr>
          <w:szCs w:val="22"/>
          <w:lang w:val="fr-FR"/>
        </w:rPr>
        <w:t xml:space="preserve"> </w:t>
      </w:r>
      <w:r w:rsidRPr="006D6427">
        <w:rPr>
          <w:szCs w:val="22"/>
          <w:lang w:val="fr-FR"/>
        </w:rPr>
        <w:t>jugés</w:t>
      </w:r>
      <w:r w:rsidR="00532E50" w:rsidRPr="006D6427">
        <w:rPr>
          <w:szCs w:val="22"/>
          <w:lang w:val="fr-FR"/>
        </w:rPr>
        <w:t xml:space="preserve"> </w:t>
      </w:r>
      <w:r w:rsidRPr="006D6427">
        <w:rPr>
          <w:szCs w:val="22"/>
          <w:lang w:val="fr-FR"/>
        </w:rPr>
        <w:t>identiques</w:t>
      </w:r>
      <w:r w:rsidR="00532E50" w:rsidRPr="006D6427">
        <w:rPr>
          <w:szCs w:val="22"/>
          <w:lang w:val="fr-FR"/>
        </w:rPr>
        <w:t xml:space="preserve"> </w:t>
      </w:r>
      <w:r w:rsidRPr="006D6427">
        <w:rPr>
          <w:szCs w:val="22"/>
          <w:lang w:val="fr-FR"/>
        </w:rPr>
        <w:t>s’adressent</w:t>
      </w:r>
      <w:r w:rsidR="00532E50" w:rsidRPr="006D6427">
        <w:rPr>
          <w:szCs w:val="22"/>
          <w:lang w:val="fr-FR"/>
        </w:rPr>
        <w:t xml:space="preserve"> </w:t>
      </w:r>
      <w:r w:rsidRPr="006D6427">
        <w:rPr>
          <w:szCs w:val="22"/>
          <w:lang w:val="fr-FR"/>
        </w:rPr>
        <w:t>au grand public</w:t>
      </w:r>
      <w:r w:rsidR="00532E50" w:rsidRPr="006D6427">
        <w:rPr>
          <w:szCs w:val="22"/>
          <w:lang w:val="fr-FR"/>
        </w:rPr>
        <w:t xml:space="preserve"> ainsi qu’à </w:t>
      </w:r>
      <w:r w:rsidRPr="006D6427">
        <w:rPr>
          <w:szCs w:val="22"/>
          <w:lang w:val="fr-FR"/>
        </w:rPr>
        <w:t>des clients professionnels ayant une expertise ou des connaissances professionnelles spécifiques.</w:t>
      </w:r>
    </w:p>
    <w:p w14:paraId="478A7DE9" w14:textId="6DBF326A" w:rsidR="003E1EF4" w:rsidRPr="006D6427" w:rsidRDefault="005453F4" w:rsidP="00532E50">
      <w:pPr>
        <w:jc w:val="both"/>
        <w:rPr>
          <w:szCs w:val="22"/>
          <w:lang w:val="fr-FR"/>
        </w:rPr>
      </w:pPr>
      <w:r w:rsidRPr="006D6427">
        <w:rPr>
          <w:szCs w:val="22"/>
          <w:lang w:val="fr-FR"/>
        </w:rPr>
        <w:t> </w:t>
      </w:r>
    </w:p>
    <w:p w14:paraId="2A751938" w14:textId="58D28584" w:rsidR="00E92E52" w:rsidRPr="006D6427" w:rsidRDefault="00E92E52" w:rsidP="00E92E52">
      <w:pPr>
        <w:jc w:val="both"/>
        <w:rPr>
          <w:szCs w:val="22"/>
          <w:lang w:val="fr-FR"/>
        </w:rPr>
      </w:pPr>
      <w:bookmarkStart w:id="9" w:name="chk-paragraph-9-3-3_nodeId--1465072020"/>
      <w:bookmarkEnd w:id="8"/>
      <w:r w:rsidRPr="006D6427">
        <w:rPr>
          <w:szCs w:val="22"/>
          <w:lang w:val="fr-FR"/>
        </w:rPr>
        <w:t xml:space="preserve">Le niveau d’attention peut varier de moyen à </w:t>
      </w:r>
      <w:proofErr w:type="spellStart"/>
      <w:r w:rsidRPr="006D6427">
        <w:rPr>
          <w:szCs w:val="22"/>
          <w:lang w:val="fr-FR"/>
        </w:rPr>
        <w:t>élevé</w:t>
      </w:r>
      <w:proofErr w:type="spellEnd"/>
      <w:r w:rsidRPr="006D6427">
        <w:rPr>
          <w:szCs w:val="22"/>
          <w:lang w:val="fr-FR"/>
        </w:rPr>
        <w:t xml:space="preserve"> en fonction de la nature spécialisée des produits, de la fréquence d’achat et du prix des produits</w:t>
      </w:r>
    </w:p>
    <w:p w14:paraId="4248D448" w14:textId="77777777" w:rsidR="00E92E52" w:rsidRPr="006D6427" w:rsidRDefault="00E92E52" w:rsidP="00532E50">
      <w:pPr>
        <w:jc w:val="both"/>
        <w:rPr>
          <w:b/>
          <w:szCs w:val="22"/>
          <w:lang w:val="fr-FR"/>
        </w:rPr>
      </w:pPr>
    </w:p>
    <w:p w14:paraId="708E14BA" w14:textId="77777777" w:rsidR="00E92E52" w:rsidRPr="006D6427" w:rsidRDefault="00E92E52" w:rsidP="00532E50">
      <w:pPr>
        <w:jc w:val="both"/>
        <w:rPr>
          <w:b/>
          <w:szCs w:val="22"/>
          <w:lang w:val="fr-FR"/>
        </w:rPr>
      </w:pPr>
    </w:p>
    <w:p w14:paraId="478A7DEE" w14:textId="5E0401D4" w:rsidR="003E1EF4" w:rsidRPr="006D6427" w:rsidRDefault="005453F4" w:rsidP="00532E50">
      <w:pPr>
        <w:jc w:val="both"/>
        <w:rPr>
          <w:szCs w:val="22"/>
        </w:rPr>
      </w:pPr>
      <w:r w:rsidRPr="006D6427">
        <w:rPr>
          <w:b/>
          <w:szCs w:val="22"/>
        </w:rPr>
        <w:t xml:space="preserve">c) Les </w:t>
      </w:r>
      <w:proofErr w:type="spellStart"/>
      <w:r w:rsidRPr="006D6427">
        <w:rPr>
          <w:b/>
          <w:szCs w:val="22"/>
        </w:rPr>
        <w:t>signes</w:t>
      </w:r>
      <w:proofErr w:type="spellEnd"/>
    </w:p>
    <w:p w14:paraId="478A7DEF" w14:textId="23283F26" w:rsidR="003E1EF4" w:rsidRPr="006D6427" w:rsidRDefault="005453F4" w:rsidP="00532E50">
      <w:pPr>
        <w:jc w:val="both"/>
        <w:rPr>
          <w:szCs w:val="22"/>
        </w:rPr>
      </w:pPr>
      <w:r w:rsidRPr="006D6427">
        <w:rPr>
          <w:szCs w:val="22"/>
        </w:rPr>
        <w:t> </w:t>
      </w:r>
    </w:p>
    <w:p w14:paraId="30493521" w14:textId="77777777" w:rsidR="00E92E52" w:rsidRPr="006D6427" w:rsidRDefault="00E92E52" w:rsidP="00532E50">
      <w:pPr>
        <w:jc w:val="both"/>
        <w:rPr>
          <w:szCs w:val="22"/>
        </w:rPr>
      </w:pPr>
    </w:p>
    <w:tbl>
      <w:tblPr>
        <w:tblW w:w="0" w:type="auto"/>
        <w:tblCellSpacing w:w="20" w:type="dxa"/>
        <w:tblInd w:w="154" w:type="dxa"/>
        <w:tblLook w:val="04A0" w:firstRow="1" w:lastRow="0" w:firstColumn="1" w:lastColumn="0" w:noHBand="0" w:noVBand="1"/>
      </w:tblPr>
      <w:tblGrid>
        <w:gridCol w:w="4898"/>
        <w:gridCol w:w="3975"/>
      </w:tblGrid>
      <w:tr w:rsidR="000D05FA" w:rsidRPr="006D6427" w14:paraId="478A7DF6" w14:textId="77777777">
        <w:trPr>
          <w:trHeight w:val="30"/>
          <w:tblCellSpacing w:w="20" w:type="dxa"/>
        </w:trPr>
        <w:tc>
          <w:tcPr>
            <w:tcW w:w="6801" w:type="dxa"/>
            <w:tcBorders>
              <w:right w:val="dotted" w:sz="8" w:space="0" w:color="000000"/>
            </w:tcBorders>
            <w:tcMar>
              <w:top w:w="15" w:type="dxa"/>
              <w:left w:w="15" w:type="dxa"/>
              <w:bottom w:w="15" w:type="dxa"/>
              <w:right w:w="15" w:type="dxa"/>
            </w:tcMar>
            <w:vAlign w:val="center"/>
          </w:tcPr>
          <w:p w14:paraId="478A7DF4" w14:textId="5AAB9AB5" w:rsidR="003E1EF4" w:rsidRPr="006D6427" w:rsidRDefault="005453F4" w:rsidP="00E92E52">
            <w:pPr>
              <w:ind w:left="130"/>
              <w:jc w:val="center"/>
              <w:rPr>
                <w:shadow/>
                <w:szCs w:val="22"/>
              </w:rPr>
            </w:pPr>
            <w:r w:rsidRPr="006D6427">
              <w:rPr>
                <w:szCs w:val="22"/>
              </w:rPr>
              <w:t>REVERSO</w:t>
            </w:r>
          </w:p>
        </w:tc>
        <w:tc>
          <w:tcPr>
            <w:tcW w:w="5449" w:type="dxa"/>
            <w:tcMar>
              <w:top w:w="15" w:type="dxa"/>
              <w:left w:w="15" w:type="dxa"/>
              <w:bottom w:w="15" w:type="dxa"/>
              <w:right w:w="15" w:type="dxa"/>
            </w:tcMar>
            <w:vAlign w:val="center"/>
          </w:tcPr>
          <w:p w14:paraId="478A7DF5" w14:textId="77777777" w:rsidR="003E1EF4" w:rsidRPr="006D6427" w:rsidRDefault="005453F4" w:rsidP="00532E50">
            <w:pPr>
              <w:ind w:left="130"/>
              <w:jc w:val="center"/>
              <w:rPr>
                <w:shadow/>
                <w:szCs w:val="22"/>
              </w:rPr>
            </w:pPr>
            <w:r w:rsidRPr="006D6427">
              <w:rPr>
                <w:szCs w:val="22"/>
              </w:rPr>
              <w:t>REZERO</w:t>
            </w:r>
          </w:p>
        </w:tc>
      </w:tr>
      <w:tr w:rsidR="000D05FA" w:rsidRPr="006D6427" w14:paraId="478A7DFB" w14:textId="77777777">
        <w:trPr>
          <w:trHeight w:val="45"/>
          <w:tblCellSpacing w:w="20" w:type="dxa"/>
        </w:trPr>
        <w:tc>
          <w:tcPr>
            <w:tcW w:w="6801" w:type="dxa"/>
            <w:tcBorders>
              <w:top w:val="dotted" w:sz="8" w:space="0" w:color="000000"/>
              <w:right w:val="dotted" w:sz="8" w:space="0" w:color="000000"/>
            </w:tcBorders>
            <w:tcMar>
              <w:top w:w="15" w:type="dxa"/>
              <w:left w:w="15" w:type="dxa"/>
              <w:bottom w:w="15" w:type="dxa"/>
              <w:right w:w="15" w:type="dxa"/>
            </w:tcMar>
            <w:vAlign w:val="center"/>
          </w:tcPr>
          <w:p w14:paraId="478A7DF7" w14:textId="0113FEF9" w:rsidR="003E1EF4" w:rsidRPr="006D6427" w:rsidRDefault="005453F4" w:rsidP="00532E50">
            <w:pPr>
              <w:ind w:left="130"/>
              <w:jc w:val="both"/>
              <w:rPr>
                <w:szCs w:val="22"/>
              </w:rPr>
            </w:pPr>
            <w:r w:rsidRPr="006D6427">
              <w:rPr>
                <w:szCs w:val="22"/>
              </w:rPr>
              <w:t> </w:t>
            </w:r>
          </w:p>
          <w:p w14:paraId="478A7DF8" w14:textId="77777777" w:rsidR="003E1EF4" w:rsidRPr="006D6427" w:rsidRDefault="005453F4" w:rsidP="00532E50">
            <w:pPr>
              <w:ind w:left="130"/>
              <w:jc w:val="center"/>
              <w:rPr>
                <w:shadow/>
                <w:szCs w:val="22"/>
              </w:rPr>
            </w:pPr>
            <w:r w:rsidRPr="006D6427">
              <w:rPr>
                <w:szCs w:val="22"/>
              </w:rPr>
              <w:t xml:space="preserve">Marque </w:t>
            </w:r>
            <w:proofErr w:type="spellStart"/>
            <w:r w:rsidRPr="006D6427">
              <w:rPr>
                <w:szCs w:val="22"/>
              </w:rPr>
              <w:t>antérieure</w:t>
            </w:r>
            <w:proofErr w:type="spellEnd"/>
          </w:p>
        </w:tc>
        <w:tc>
          <w:tcPr>
            <w:tcW w:w="5449" w:type="dxa"/>
            <w:tcBorders>
              <w:top w:val="dotted" w:sz="8" w:space="0" w:color="000000"/>
            </w:tcBorders>
            <w:tcMar>
              <w:top w:w="15" w:type="dxa"/>
              <w:left w:w="15" w:type="dxa"/>
              <w:bottom w:w="15" w:type="dxa"/>
              <w:right w:w="15" w:type="dxa"/>
            </w:tcMar>
            <w:vAlign w:val="center"/>
          </w:tcPr>
          <w:p w14:paraId="478A7DF9" w14:textId="082B2ECD" w:rsidR="003E1EF4" w:rsidRPr="006D6427" w:rsidRDefault="005453F4" w:rsidP="00532E50">
            <w:pPr>
              <w:ind w:left="130"/>
              <w:jc w:val="both"/>
              <w:rPr>
                <w:szCs w:val="22"/>
              </w:rPr>
            </w:pPr>
            <w:r w:rsidRPr="006D6427">
              <w:rPr>
                <w:szCs w:val="22"/>
              </w:rPr>
              <w:t> </w:t>
            </w:r>
          </w:p>
          <w:p w14:paraId="478A7DFA" w14:textId="77777777" w:rsidR="003E1EF4" w:rsidRPr="006D6427" w:rsidRDefault="005453F4" w:rsidP="00532E50">
            <w:pPr>
              <w:ind w:left="130"/>
              <w:jc w:val="center"/>
              <w:rPr>
                <w:szCs w:val="22"/>
              </w:rPr>
            </w:pPr>
            <w:r w:rsidRPr="006D6427">
              <w:rPr>
                <w:szCs w:val="22"/>
              </w:rPr>
              <w:t xml:space="preserve">Marque </w:t>
            </w:r>
            <w:proofErr w:type="spellStart"/>
            <w:r w:rsidRPr="006D6427">
              <w:rPr>
                <w:szCs w:val="22"/>
              </w:rPr>
              <w:t>contestée</w:t>
            </w:r>
            <w:proofErr w:type="spellEnd"/>
          </w:p>
        </w:tc>
      </w:tr>
    </w:tbl>
    <w:p w14:paraId="478A7DFC" w14:textId="0768C7F4" w:rsidR="003E1EF4" w:rsidRPr="006D6427" w:rsidRDefault="005453F4" w:rsidP="00532E50">
      <w:pPr>
        <w:jc w:val="both"/>
        <w:rPr>
          <w:szCs w:val="22"/>
        </w:rPr>
      </w:pPr>
      <w:r w:rsidRPr="006D6427">
        <w:rPr>
          <w:szCs w:val="22"/>
        </w:rPr>
        <w:t> </w:t>
      </w:r>
    </w:p>
    <w:p w14:paraId="590FC827" w14:textId="272C2672" w:rsidR="00C0268D" w:rsidRPr="006D6427" w:rsidRDefault="005453F4" w:rsidP="00C0268D">
      <w:pPr>
        <w:jc w:val="both"/>
        <w:rPr>
          <w:szCs w:val="22"/>
          <w:lang w:val="fr-FR"/>
        </w:rPr>
      </w:pPr>
      <w:bookmarkStart w:id="10" w:name="chk-paragraph-9-3-3-2_nodeId--1371220369"/>
      <w:bookmarkEnd w:id="9"/>
      <w:r w:rsidRPr="006D6427">
        <w:rPr>
          <w:szCs w:val="22"/>
          <w:lang w:val="fr-FR"/>
        </w:rPr>
        <w:lastRenderedPageBreak/>
        <w:t xml:space="preserve">Le territoire pertinent </w:t>
      </w:r>
      <w:r w:rsidR="00E92E52" w:rsidRPr="006D6427">
        <w:rPr>
          <w:szCs w:val="22"/>
          <w:lang w:val="fr-FR"/>
        </w:rPr>
        <w:t xml:space="preserve">couvre </w:t>
      </w:r>
      <w:r w:rsidR="00C0268D" w:rsidRPr="006D6427">
        <w:rPr>
          <w:szCs w:val="22"/>
          <w:lang w:val="fr-FR"/>
        </w:rPr>
        <w:t>l’Allemagne, l’Autriche, le Benelux, la Bulgarie, la Croatie, le Danemark, l’Espagne, l’Estonie, la Finlande, la France, la Hongrie, l’Italie, la Lettonie, la Lituanie, la Pologne, le Portugal, la Roumanie, le République tchèque, la Slovaquie, la Slovénie, et la Suède.</w:t>
      </w:r>
    </w:p>
    <w:p w14:paraId="6122F4A3" w14:textId="77777777" w:rsidR="00C0268D" w:rsidRPr="006D6427" w:rsidRDefault="00C0268D" w:rsidP="00532E50">
      <w:pPr>
        <w:jc w:val="both"/>
        <w:rPr>
          <w:szCs w:val="22"/>
          <w:lang w:val="fr-FR"/>
        </w:rPr>
      </w:pPr>
    </w:p>
    <w:p w14:paraId="478A7E04" w14:textId="73D92590" w:rsidR="003E1EF4" w:rsidRPr="006D6427" w:rsidRDefault="005453F4" w:rsidP="00532E50">
      <w:pPr>
        <w:jc w:val="both"/>
        <w:rPr>
          <w:szCs w:val="22"/>
          <w:lang w:val="fr-FR"/>
        </w:rPr>
      </w:pPr>
      <w:r w:rsidRPr="006D6427">
        <w:rPr>
          <w:szCs w:val="22"/>
          <w:lang w:val="fr-FR"/>
        </w:rPr>
        <w:t>L’appréciation globale doit, en ce qui concerne la similitude visuelle, phonétique ou conceptuelle des marques en cause, être fondée sur l’impression d’ensemble produite par les marques, en tenant compte, notamment, des éléments distinctifs et dominants de celles-ci (11/11/1997, C</w:t>
      </w:r>
      <w:r w:rsidRPr="006D6427">
        <w:rPr>
          <w:rFonts w:ascii="Cambria Math" w:hAnsi="Cambria Math" w:cs="Cambria Math"/>
          <w:szCs w:val="22"/>
          <w:lang w:val="fr-FR"/>
        </w:rPr>
        <w:t>‑</w:t>
      </w:r>
      <w:r w:rsidRPr="006D6427">
        <w:rPr>
          <w:szCs w:val="22"/>
          <w:lang w:val="fr-FR"/>
        </w:rPr>
        <w:t xml:space="preserve">251/95, </w:t>
      </w:r>
      <w:proofErr w:type="spellStart"/>
      <w:r w:rsidRPr="006D6427">
        <w:rPr>
          <w:szCs w:val="22"/>
          <w:lang w:val="fr-FR"/>
        </w:rPr>
        <w:t>Sabèl</w:t>
      </w:r>
      <w:proofErr w:type="spellEnd"/>
      <w:r w:rsidRPr="006D6427">
        <w:rPr>
          <w:szCs w:val="22"/>
          <w:lang w:val="fr-FR"/>
        </w:rPr>
        <w:t xml:space="preserve">, </w:t>
      </w:r>
      <w:proofErr w:type="gramStart"/>
      <w:r w:rsidRPr="006D6427">
        <w:rPr>
          <w:szCs w:val="22"/>
          <w:lang w:val="fr-FR"/>
        </w:rPr>
        <w:t>EU:C:1997:</w:t>
      </w:r>
      <w:proofErr w:type="gramEnd"/>
      <w:r w:rsidRPr="006D6427">
        <w:rPr>
          <w:szCs w:val="22"/>
          <w:lang w:val="fr-FR"/>
        </w:rPr>
        <w:t>528, § 23).</w:t>
      </w:r>
    </w:p>
    <w:p w14:paraId="478A7E0D" w14:textId="79D9264D" w:rsidR="003E1EF4" w:rsidRPr="006D6427" w:rsidRDefault="005453F4" w:rsidP="00532E50">
      <w:pPr>
        <w:jc w:val="both"/>
        <w:rPr>
          <w:szCs w:val="22"/>
          <w:lang w:val="fr-FR"/>
        </w:rPr>
      </w:pPr>
      <w:bookmarkStart w:id="11" w:name="chk-paragraph-9-3-3-2-5_nodeId--50308356"/>
      <w:bookmarkEnd w:id="10"/>
      <w:r w:rsidRPr="006D6427">
        <w:rPr>
          <w:szCs w:val="22"/>
          <w:lang w:val="fr-FR"/>
        </w:rPr>
        <w:t> </w:t>
      </w:r>
    </w:p>
    <w:p w14:paraId="092E1C02" w14:textId="5ABFC10A" w:rsidR="00CB7F72" w:rsidRPr="006D6427" w:rsidRDefault="00CB7F72" w:rsidP="00CB7F72">
      <w:pPr>
        <w:jc w:val="both"/>
        <w:rPr>
          <w:szCs w:val="22"/>
          <w:lang w:val="fr-FR"/>
        </w:rPr>
      </w:pPr>
      <w:r w:rsidRPr="006D6427">
        <w:rPr>
          <w:szCs w:val="22"/>
          <w:lang w:val="fr-FR"/>
        </w:rPr>
        <w:t xml:space="preserve">Lors de l’appréciation de la similitude des signes, une analyse est réalisée en vue de déterminer si les éléments des signes ont une signification afin d’évaluer dans quelle mesure lesdits composants sont associés à des concepts. En effet, il peut être plus difficile d’établir que le public puisse se méprendre sur l’origine desdits produits et services en présence d’éléments véhiculant des concepts différents. Aussi, dans un premier temps, la division d’opposition examinera l’opposition au regard de la partie du public pour laquelle le termes « REVERSO » et « REZERO » ne possèdent pas de signification et présentent un caractère distinctif normal, à savoir, notamment, pour </w:t>
      </w:r>
      <w:r w:rsidR="0023394D" w:rsidRPr="006D6427">
        <w:rPr>
          <w:szCs w:val="22"/>
          <w:lang w:val="fr-FR"/>
        </w:rPr>
        <w:t xml:space="preserve">les </w:t>
      </w:r>
      <w:r w:rsidRPr="006D6427">
        <w:rPr>
          <w:szCs w:val="22"/>
          <w:lang w:val="fr-FR"/>
        </w:rPr>
        <w:t>partie</w:t>
      </w:r>
      <w:r w:rsidR="0023394D" w:rsidRPr="006D6427">
        <w:rPr>
          <w:szCs w:val="22"/>
          <w:lang w:val="fr-FR"/>
        </w:rPr>
        <w:t>s</w:t>
      </w:r>
      <w:r w:rsidRPr="006D6427">
        <w:rPr>
          <w:szCs w:val="22"/>
          <w:lang w:val="fr-FR"/>
        </w:rPr>
        <w:t xml:space="preserve"> du public parlant </w:t>
      </w:r>
      <w:r w:rsidR="00B46847" w:rsidRPr="006D6427">
        <w:rPr>
          <w:szCs w:val="22"/>
          <w:lang w:val="fr-FR"/>
        </w:rPr>
        <w:t xml:space="preserve">français, </w:t>
      </w:r>
      <w:r w:rsidRPr="006D6427">
        <w:rPr>
          <w:szCs w:val="22"/>
          <w:lang w:val="fr-FR"/>
        </w:rPr>
        <w:t>néerlandais</w:t>
      </w:r>
      <w:r w:rsidR="0023394D" w:rsidRPr="006D6427">
        <w:rPr>
          <w:szCs w:val="22"/>
          <w:lang w:val="fr-FR"/>
        </w:rPr>
        <w:t xml:space="preserve">, </w:t>
      </w:r>
      <w:r w:rsidRPr="006D6427">
        <w:rPr>
          <w:szCs w:val="22"/>
          <w:lang w:val="fr-FR"/>
        </w:rPr>
        <w:t>allemand, danois ou suédois</w:t>
      </w:r>
      <w:r w:rsidR="0023394D" w:rsidRPr="006D6427">
        <w:rPr>
          <w:szCs w:val="22"/>
          <w:lang w:val="fr-FR"/>
        </w:rPr>
        <w:t>, parties couvertes par certaines désignations de l’enregistrement international antérieur</w:t>
      </w:r>
      <w:r w:rsidR="00F427ED" w:rsidRPr="006D6427">
        <w:rPr>
          <w:szCs w:val="22"/>
          <w:lang w:val="fr-FR"/>
        </w:rPr>
        <w:t xml:space="preserve">, </w:t>
      </w:r>
      <w:r w:rsidR="0023394D" w:rsidRPr="006D6427">
        <w:rPr>
          <w:szCs w:val="22"/>
          <w:lang w:val="fr-FR"/>
        </w:rPr>
        <w:t xml:space="preserve">notamment </w:t>
      </w:r>
      <w:r w:rsidR="00F427ED" w:rsidRPr="006D6427">
        <w:rPr>
          <w:szCs w:val="22"/>
          <w:lang w:val="fr-FR"/>
        </w:rPr>
        <w:t>celles de l’</w:t>
      </w:r>
      <w:r w:rsidR="0023394D" w:rsidRPr="006D6427">
        <w:rPr>
          <w:szCs w:val="22"/>
          <w:lang w:val="fr-FR"/>
        </w:rPr>
        <w:t xml:space="preserve">Allemagne, </w:t>
      </w:r>
      <w:r w:rsidR="00F427ED" w:rsidRPr="006D6427">
        <w:rPr>
          <w:szCs w:val="22"/>
          <w:lang w:val="fr-FR"/>
        </w:rPr>
        <w:t>l’</w:t>
      </w:r>
      <w:r w:rsidR="0023394D" w:rsidRPr="006D6427">
        <w:rPr>
          <w:szCs w:val="22"/>
          <w:lang w:val="fr-FR"/>
        </w:rPr>
        <w:t xml:space="preserve">Autriche, </w:t>
      </w:r>
      <w:r w:rsidR="00F427ED" w:rsidRPr="006D6427">
        <w:rPr>
          <w:szCs w:val="22"/>
          <w:lang w:val="fr-FR"/>
        </w:rPr>
        <w:t xml:space="preserve">le </w:t>
      </w:r>
      <w:r w:rsidR="0023394D" w:rsidRPr="006D6427">
        <w:rPr>
          <w:szCs w:val="22"/>
          <w:lang w:val="fr-FR"/>
        </w:rPr>
        <w:t xml:space="preserve">Benelux, </w:t>
      </w:r>
      <w:r w:rsidR="00F427ED" w:rsidRPr="006D6427">
        <w:rPr>
          <w:szCs w:val="22"/>
          <w:lang w:val="fr-FR"/>
        </w:rPr>
        <w:t xml:space="preserve">le </w:t>
      </w:r>
      <w:r w:rsidR="0023394D" w:rsidRPr="006D6427">
        <w:rPr>
          <w:szCs w:val="22"/>
          <w:lang w:val="fr-FR"/>
        </w:rPr>
        <w:t xml:space="preserve">Danemark, </w:t>
      </w:r>
      <w:r w:rsidR="00B46847" w:rsidRPr="006D6427">
        <w:rPr>
          <w:szCs w:val="22"/>
          <w:lang w:val="fr-FR"/>
        </w:rPr>
        <w:t xml:space="preserve">la France, </w:t>
      </w:r>
      <w:r w:rsidR="0023394D" w:rsidRPr="006D6427">
        <w:rPr>
          <w:szCs w:val="22"/>
          <w:lang w:val="fr-FR"/>
        </w:rPr>
        <w:t xml:space="preserve">et </w:t>
      </w:r>
      <w:r w:rsidR="00F427ED" w:rsidRPr="006D6427">
        <w:rPr>
          <w:szCs w:val="22"/>
          <w:lang w:val="fr-FR"/>
        </w:rPr>
        <w:t xml:space="preserve">la </w:t>
      </w:r>
      <w:r w:rsidR="0023394D" w:rsidRPr="006D6427">
        <w:rPr>
          <w:szCs w:val="22"/>
          <w:lang w:val="fr-FR"/>
        </w:rPr>
        <w:t>Suède</w:t>
      </w:r>
      <w:r w:rsidRPr="006D6427">
        <w:rPr>
          <w:szCs w:val="22"/>
          <w:lang w:val="fr-FR"/>
        </w:rPr>
        <w:t>.</w:t>
      </w:r>
    </w:p>
    <w:p w14:paraId="478A7E1E" w14:textId="77777777" w:rsidR="003E1EF4" w:rsidRPr="006D6427" w:rsidRDefault="003E1EF4" w:rsidP="00532E50">
      <w:pPr>
        <w:jc w:val="both"/>
        <w:rPr>
          <w:szCs w:val="22"/>
          <w:lang w:val="fr-FR"/>
        </w:rPr>
      </w:pPr>
      <w:bookmarkStart w:id="12" w:name="chk-paragraph-9-3-3-2-5-2-3_nodeId-17093"/>
      <w:bookmarkEnd w:id="11"/>
    </w:p>
    <w:p w14:paraId="478A7E1F" w14:textId="67042B3E" w:rsidR="003E1EF4" w:rsidRPr="006D6427" w:rsidRDefault="005453F4" w:rsidP="00532E50">
      <w:pPr>
        <w:jc w:val="both"/>
        <w:rPr>
          <w:szCs w:val="22"/>
          <w:lang w:val="fr-FR"/>
        </w:rPr>
      </w:pPr>
      <w:r w:rsidRPr="006D6427">
        <w:rPr>
          <w:szCs w:val="22"/>
          <w:lang w:val="fr-FR"/>
        </w:rPr>
        <w:t>La considération</w:t>
      </w:r>
      <w:r w:rsidR="0023394D" w:rsidRPr="006D6427">
        <w:rPr>
          <w:szCs w:val="22"/>
          <w:lang w:val="fr-FR"/>
        </w:rPr>
        <w:t xml:space="preserve"> de l’opposante</w:t>
      </w:r>
      <w:r w:rsidRPr="006D6427">
        <w:rPr>
          <w:szCs w:val="22"/>
          <w:lang w:val="fr-FR"/>
        </w:rPr>
        <w:t xml:space="preserve"> selon laquelle le consommateur attache normalement plus d’importance à la partie initiale d’une marque ne saurait valoir dans tous les cas et remettre en cause le principe selon lequel l’examen de la similitude des marques doit se fonder sur l’impression d’ensemble produite par celles-ci. En effet, rien ne permet de considérer que les consommateurs moyens normalement informés et raisonnablement attentifs et avisés négligeront systématiquement la seconde partie de l’élément verbal d’une marque au point de n’en mémoriser que la première partie (07/06/2023, T-33/22, Porto </w:t>
      </w:r>
      <w:proofErr w:type="spellStart"/>
      <w:r w:rsidRPr="006D6427">
        <w:rPr>
          <w:szCs w:val="22"/>
          <w:lang w:val="fr-FR"/>
        </w:rPr>
        <w:t>insígnia</w:t>
      </w:r>
      <w:proofErr w:type="spellEnd"/>
      <w:r w:rsidRPr="006D6427">
        <w:rPr>
          <w:szCs w:val="22"/>
          <w:lang w:val="fr-FR"/>
        </w:rPr>
        <w:t>/</w:t>
      </w:r>
      <w:proofErr w:type="spellStart"/>
      <w:r w:rsidRPr="006D6427">
        <w:rPr>
          <w:szCs w:val="22"/>
          <w:lang w:val="fr-FR"/>
        </w:rPr>
        <w:t>Insignia</w:t>
      </w:r>
      <w:proofErr w:type="spellEnd"/>
      <w:r w:rsidRPr="006D6427">
        <w:rPr>
          <w:szCs w:val="22"/>
          <w:lang w:val="fr-FR"/>
        </w:rPr>
        <w:t xml:space="preserve"> et al., </w:t>
      </w:r>
      <w:proofErr w:type="gramStart"/>
      <w:r w:rsidRPr="006D6427">
        <w:rPr>
          <w:szCs w:val="22"/>
          <w:lang w:val="fr-FR"/>
        </w:rPr>
        <w:t>EU:T</w:t>
      </w:r>
      <w:proofErr w:type="gramEnd"/>
      <w:r w:rsidRPr="006D6427">
        <w:rPr>
          <w:szCs w:val="22"/>
          <w:lang w:val="fr-FR"/>
        </w:rPr>
        <w:t>:</w:t>
      </w:r>
      <w:proofErr w:type="gramStart"/>
      <w:r w:rsidRPr="006D6427">
        <w:rPr>
          <w:szCs w:val="22"/>
          <w:lang w:val="fr-FR"/>
        </w:rPr>
        <w:t>2023:</w:t>
      </w:r>
      <w:proofErr w:type="gramEnd"/>
      <w:r w:rsidRPr="006D6427">
        <w:rPr>
          <w:szCs w:val="22"/>
          <w:lang w:val="fr-FR"/>
        </w:rPr>
        <w:t>316, § 56-57).</w:t>
      </w:r>
    </w:p>
    <w:p w14:paraId="192D1F7A" w14:textId="77777777" w:rsidR="00CB7F72" w:rsidRPr="006D6427" w:rsidRDefault="00CB7F72" w:rsidP="00532E50">
      <w:pPr>
        <w:jc w:val="both"/>
        <w:rPr>
          <w:b/>
          <w:szCs w:val="22"/>
          <w:lang w:val="fr-FR"/>
        </w:rPr>
      </w:pPr>
      <w:bookmarkStart w:id="13" w:name="chk-paragraph-9-3-3-2-6_nodeId-141804686"/>
      <w:bookmarkEnd w:id="12"/>
    </w:p>
    <w:p w14:paraId="73ABDF29" w14:textId="62AF6D8F" w:rsidR="002D24B2" w:rsidRPr="006D6427" w:rsidRDefault="005453F4" w:rsidP="002D24B2">
      <w:pPr>
        <w:jc w:val="both"/>
        <w:rPr>
          <w:szCs w:val="22"/>
          <w:lang w:val="fr-FR"/>
        </w:rPr>
      </w:pPr>
      <w:r w:rsidRPr="006D6427">
        <w:rPr>
          <w:b/>
          <w:szCs w:val="22"/>
          <w:lang w:val="fr-FR"/>
        </w:rPr>
        <w:t>Sur le plan visuel</w:t>
      </w:r>
      <w:r w:rsidRPr="006D6427">
        <w:rPr>
          <w:szCs w:val="22"/>
          <w:lang w:val="fr-FR"/>
        </w:rPr>
        <w:t xml:space="preserve">, les signes coïncident </w:t>
      </w:r>
      <w:r w:rsidR="00CB7F72" w:rsidRPr="006D6427">
        <w:rPr>
          <w:szCs w:val="22"/>
          <w:lang w:val="fr-FR"/>
        </w:rPr>
        <w:t>par leurs lettres « R-E-*-E-R</w:t>
      </w:r>
      <w:proofErr w:type="gramStart"/>
      <w:r w:rsidR="00CB7F72" w:rsidRPr="006D6427">
        <w:rPr>
          <w:szCs w:val="22"/>
          <w:lang w:val="fr-FR"/>
        </w:rPr>
        <w:t>-(*)-</w:t>
      </w:r>
      <w:proofErr w:type="gramEnd"/>
      <w:r w:rsidR="00CB7F72" w:rsidRPr="006D6427">
        <w:rPr>
          <w:szCs w:val="22"/>
          <w:lang w:val="fr-FR"/>
        </w:rPr>
        <w:t>O » tandis qu’ils diffèrent par leurs lettres « *</w:t>
      </w:r>
      <w:r w:rsidR="00A33B1D" w:rsidRPr="006D6427">
        <w:rPr>
          <w:szCs w:val="22"/>
          <w:lang w:val="fr-FR"/>
        </w:rPr>
        <w:t>-</w:t>
      </w:r>
      <w:r w:rsidR="00CB7F72" w:rsidRPr="006D6427">
        <w:rPr>
          <w:szCs w:val="22"/>
          <w:lang w:val="fr-FR"/>
        </w:rPr>
        <w:t>*</w:t>
      </w:r>
      <w:r w:rsidR="00A33B1D" w:rsidRPr="006D6427">
        <w:rPr>
          <w:szCs w:val="22"/>
          <w:lang w:val="fr-FR"/>
        </w:rPr>
        <w:t>-</w:t>
      </w:r>
      <w:r w:rsidR="00CB7F72" w:rsidRPr="006D6427">
        <w:rPr>
          <w:szCs w:val="22"/>
          <w:lang w:val="fr-FR"/>
        </w:rPr>
        <w:t>V/Z-*-*</w:t>
      </w:r>
      <w:r w:rsidR="00A33B1D" w:rsidRPr="006D6427">
        <w:rPr>
          <w:szCs w:val="22"/>
          <w:lang w:val="fr-FR"/>
        </w:rPr>
        <w:t xml:space="preserve">-(S)-* ». </w:t>
      </w:r>
    </w:p>
    <w:p w14:paraId="5B18C6DE" w14:textId="77777777" w:rsidR="002D24B2" w:rsidRPr="006D6427" w:rsidRDefault="002D24B2" w:rsidP="002D24B2">
      <w:pPr>
        <w:jc w:val="both"/>
        <w:rPr>
          <w:szCs w:val="22"/>
          <w:lang w:val="fr-FR"/>
        </w:rPr>
      </w:pPr>
    </w:p>
    <w:p w14:paraId="5706B229" w14:textId="7DB42158" w:rsidR="002D24B2" w:rsidRPr="006D6427" w:rsidRDefault="00A33B1D" w:rsidP="002D24B2">
      <w:pPr>
        <w:jc w:val="both"/>
        <w:rPr>
          <w:szCs w:val="22"/>
          <w:lang w:val="fr-FR"/>
        </w:rPr>
      </w:pPr>
      <w:r w:rsidRPr="006D6427">
        <w:rPr>
          <w:szCs w:val="22"/>
          <w:lang w:val="fr-FR"/>
        </w:rPr>
        <w:t>La division d’opposition ne partage pas l’avis de l’opposante selon lequel les troisièmes lettres respectives, « V » et « Z »</w:t>
      </w:r>
      <w:r w:rsidR="0002737D" w:rsidRPr="006D6427">
        <w:rPr>
          <w:szCs w:val="22"/>
          <w:lang w:val="fr-FR"/>
        </w:rPr>
        <w:t>,</w:t>
      </w:r>
      <w:r w:rsidRPr="006D6427">
        <w:rPr>
          <w:szCs w:val="22"/>
          <w:lang w:val="fr-FR"/>
        </w:rPr>
        <w:t xml:space="preserve"> présenteraient des similitudes en ce que la lettre « Z » pourrait apparaître comme un « V » renversé. </w:t>
      </w:r>
      <w:r w:rsidR="0023394D" w:rsidRPr="006D6427">
        <w:rPr>
          <w:szCs w:val="22"/>
          <w:lang w:val="fr-FR"/>
        </w:rPr>
        <w:t xml:space="preserve">En effet, </w:t>
      </w:r>
      <w:r w:rsidR="000E03C8" w:rsidRPr="006D6427">
        <w:rPr>
          <w:szCs w:val="22"/>
          <w:lang w:val="fr-FR"/>
        </w:rPr>
        <w:t xml:space="preserve">s’il est vrai que certaines lettres </w:t>
      </w:r>
      <w:r w:rsidR="00F74FBE" w:rsidRPr="006D6427">
        <w:rPr>
          <w:szCs w:val="22"/>
          <w:lang w:val="fr-FR"/>
        </w:rPr>
        <w:t xml:space="preserve">de l’alphabet </w:t>
      </w:r>
      <w:r w:rsidR="000E03C8" w:rsidRPr="006D6427">
        <w:rPr>
          <w:szCs w:val="22"/>
          <w:lang w:val="fr-FR"/>
        </w:rPr>
        <w:t xml:space="preserve">présentent manifestement quelques ressemblances (par exemple, les lettres </w:t>
      </w:r>
      <w:r w:rsidR="00F74FBE" w:rsidRPr="006D6427">
        <w:rPr>
          <w:szCs w:val="22"/>
          <w:lang w:val="fr-FR"/>
        </w:rPr>
        <w:t>« </w:t>
      </w:r>
      <w:r w:rsidR="000E03C8" w:rsidRPr="006D6427">
        <w:rPr>
          <w:szCs w:val="22"/>
          <w:lang w:val="fr-FR"/>
        </w:rPr>
        <w:t>M</w:t>
      </w:r>
      <w:r w:rsidR="00F74FBE" w:rsidRPr="006D6427">
        <w:rPr>
          <w:szCs w:val="22"/>
          <w:lang w:val="fr-FR"/>
        </w:rPr>
        <w:t> »</w:t>
      </w:r>
      <w:r w:rsidR="000E03C8" w:rsidRPr="006D6427">
        <w:rPr>
          <w:szCs w:val="22"/>
          <w:lang w:val="fr-FR"/>
        </w:rPr>
        <w:t xml:space="preserve"> et </w:t>
      </w:r>
      <w:r w:rsidR="00F74FBE" w:rsidRPr="006D6427">
        <w:rPr>
          <w:szCs w:val="22"/>
          <w:lang w:val="fr-FR"/>
        </w:rPr>
        <w:t>« </w:t>
      </w:r>
      <w:r w:rsidR="000E03C8" w:rsidRPr="006D6427">
        <w:rPr>
          <w:szCs w:val="22"/>
          <w:lang w:val="fr-FR"/>
        </w:rPr>
        <w:t>N</w:t>
      </w:r>
      <w:r w:rsidR="00F74FBE" w:rsidRPr="006D6427">
        <w:rPr>
          <w:szCs w:val="22"/>
          <w:lang w:val="fr-FR"/>
        </w:rPr>
        <w:t> »</w:t>
      </w:r>
      <w:r w:rsidR="000E03C8" w:rsidRPr="006D6427">
        <w:rPr>
          <w:szCs w:val="22"/>
          <w:lang w:val="fr-FR"/>
        </w:rPr>
        <w:t xml:space="preserve"> ou les lettres </w:t>
      </w:r>
      <w:r w:rsidR="00F74FBE" w:rsidRPr="006D6427">
        <w:rPr>
          <w:szCs w:val="22"/>
          <w:lang w:val="fr-FR"/>
        </w:rPr>
        <w:t>« </w:t>
      </w:r>
      <w:r w:rsidR="000E03C8" w:rsidRPr="006D6427">
        <w:rPr>
          <w:szCs w:val="22"/>
          <w:lang w:val="fr-FR"/>
        </w:rPr>
        <w:t>B</w:t>
      </w:r>
      <w:r w:rsidR="00F74FBE" w:rsidRPr="006D6427">
        <w:rPr>
          <w:szCs w:val="22"/>
          <w:lang w:val="fr-FR"/>
        </w:rPr>
        <w:t> »</w:t>
      </w:r>
      <w:r w:rsidR="000E03C8" w:rsidRPr="006D6427">
        <w:rPr>
          <w:szCs w:val="22"/>
          <w:lang w:val="fr-FR"/>
        </w:rPr>
        <w:t xml:space="preserve"> et </w:t>
      </w:r>
      <w:r w:rsidR="00F74FBE" w:rsidRPr="006D6427">
        <w:rPr>
          <w:szCs w:val="22"/>
          <w:lang w:val="fr-FR"/>
        </w:rPr>
        <w:t>« </w:t>
      </w:r>
      <w:r w:rsidR="000E03C8" w:rsidRPr="006D6427">
        <w:rPr>
          <w:szCs w:val="22"/>
          <w:lang w:val="fr-FR"/>
        </w:rPr>
        <w:t>P</w:t>
      </w:r>
      <w:r w:rsidR="00F74FBE" w:rsidRPr="006D6427">
        <w:rPr>
          <w:szCs w:val="22"/>
          <w:lang w:val="fr-FR"/>
        </w:rPr>
        <w:t> »</w:t>
      </w:r>
      <w:r w:rsidR="000E03C8" w:rsidRPr="006D6427">
        <w:rPr>
          <w:szCs w:val="22"/>
          <w:lang w:val="fr-FR"/>
        </w:rPr>
        <w:t xml:space="preserve">), </w:t>
      </w:r>
      <w:r w:rsidR="0023394D" w:rsidRPr="006D6427">
        <w:rPr>
          <w:szCs w:val="22"/>
          <w:lang w:val="fr-FR"/>
        </w:rPr>
        <w:t>l</w:t>
      </w:r>
      <w:r w:rsidRPr="006D6427">
        <w:rPr>
          <w:szCs w:val="22"/>
          <w:lang w:val="fr-FR"/>
        </w:rPr>
        <w:t xml:space="preserve">es consommateurs distinguent </w:t>
      </w:r>
      <w:r w:rsidR="000E03C8" w:rsidRPr="006D6427">
        <w:rPr>
          <w:szCs w:val="22"/>
          <w:lang w:val="fr-FR"/>
        </w:rPr>
        <w:t xml:space="preserve">normalement </w:t>
      </w:r>
      <w:r w:rsidRPr="006D6427">
        <w:rPr>
          <w:szCs w:val="22"/>
          <w:lang w:val="fr-FR"/>
        </w:rPr>
        <w:t xml:space="preserve">d’emblée </w:t>
      </w:r>
      <w:r w:rsidR="0023394D" w:rsidRPr="006D6427">
        <w:rPr>
          <w:szCs w:val="22"/>
          <w:lang w:val="fr-FR"/>
        </w:rPr>
        <w:t>l</w:t>
      </w:r>
      <w:r w:rsidRPr="006D6427">
        <w:rPr>
          <w:szCs w:val="22"/>
          <w:lang w:val="fr-FR"/>
        </w:rPr>
        <w:t xml:space="preserve">es lettres dont </w:t>
      </w:r>
      <w:r w:rsidR="0023394D" w:rsidRPr="006D6427">
        <w:rPr>
          <w:szCs w:val="22"/>
          <w:lang w:val="fr-FR"/>
        </w:rPr>
        <w:t xml:space="preserve">les traits </w:t>
      </w:r>
      <w:r w:rsidRPr="006D6427">
        <w:rPr>
          <w:szCs w:val="22"/>
          <w:lang w:val="fr-FR"/>
        </w:rPr>
        <w:t xml:space="preserve">ne </w:t>
      </w:r>
      <w:r w:rsidR="00F74FBE" w:rsidRPr="006D6427">
        <w:rPr>
          <w:szCs w:val="22"/>
          <w:lang w:val="fr-FR"/>
        </w:rPr>
        <w:t>peuvent se superposer</w:t>
      </w:r>
      <w:r w:rsidR="0002737D" w:rsidRPr="006D6427">
        <w:rPr>
          <w:szCs w:val="22"/>
          <w:lang w:val="fr-FR"/>
        </w:rPr>
        <w:t xml:space="preserve">. </w:t>
      </w:r>
      <w:r w:rsidR="00402B43" w:rsidRPr="006D6427">
        <w:rPr>
          <w:szCs w:val="22"/>
          <w:lang w:val="fr-FR"/>
        </w:rPr>
        <w:t xml:space="preserve">En outre, s’il est vrai que les signes ont plusieurs lettres en commun, la lettre « S », présente uniquement dans la marque antérieure, </w:t>
      </w:r>
      <w:r w:rsidR="00B142F2" w:rsidRPr="006D6427">
        <w:rPr>
          <w:szCs w:val="22"/>
          <w:lang w:val="fr-FR"/>
        </w:rPr>
        <w:t xml:space="preserve">interrompt </w:t>
      </w:r>
      <w:r w:rsidR="00402B43" w:rsidRPr="006D6427">
        <w:rPr>
          <w:szCs w:val="22"/>
          <w:lang w:val="fr-FR"/>
        </w:rPr>
        <w:t xml:space="preserve">visuellement la </w:t>
      </w:r>
      <w:r w:rsidR="00B142F2" w:rsidRPr="006D6427">
        <w:rPr>
          <w:szCs w:val="22"/>
          <w:lang w:val="fr-FR"/>
        </w:rPr>
        <w:t xml:space="preserve">suite </w:t>
      </w:r>
      <w:r w:rsidR="00402B43" w:rsidRPr="006D6427">
        <w:rPr>
          <w:szCs w:val="22"/>
          <w:lang w:val="fr-FR"/>
        </w:rPr>
        <w:t xml:space="preserve">des lettres finales communes « E-R-O », modifiant ainsi, également le rang occupé par ces lettres. </w:t>
      </w:r>
    </w:p>
    <w:p w14:paraId="55FC0B24" w14:textId="77777777" w:rsidR="002D24B2" w:rsidRPr="006D6427" w:rsidRDefault="002D24B2" w:rsidP="002D24B2">
      <w:pPr>
        <w:jc w:val="both"/>
        <w:rPr>
          <w:szCs w:val="22"/>
          <w:lang w:val="fr-FR"/>
        </w:rPr>
      </w:pPr>
    </w:p>
    <w:p w14:paraId="25C00541" w14:textId="5A166838" w:rsidR="002D24B2" w:rsidRPr="006D6427" w:rsidRDefault="002D24B2" w:rsidP="002D24B2">
      <w:pPr>
        <w:jc w:val="both"/>
        <w:rPr>
          <w:szCs w:val="22"/>
          <w:lang w:val="fr-FR"/>
        </w:rPr>
      </w:pPr>
      <w:r w:rsidRPr="006D6427">
        <w:rPr>
          <w:szCs w:val="22"/>
          <w:lang w:val="fr-FR"/>
        </w:rPr>
        <w:t xml:space="preserve">De plus, le Tribunal considère que dès lors que l’alphabet est composé d’un nombre limité de lettres, lesquelles, au demeurant, ne sont pas toutes utilisées avec la même fréquence, il est inévitable que plusieurs mots se composent du même nombre de lettres et en partagent même certaines, sans qu’ils puissent de ce seul fait être qualifiés de similaires sur le plan visuel. (25/03/2009, T-402/07, ARCOL / CAPOL, </w:t>
      </w:r>
      <w:proofErr w:type="gramStart"/>
      <w:r w:rsidRPr="006D6427">
        <w:rPr>
          <w:szCs w:val="22"/>
          <w:lang w:val="fr-FR"/>
        </w:rPr>
        <w:t>EU:T</w:t>
      </w:r>
      <w:proofErr w:type="gramEnd"/>
      <w:r w:rsidRPr="006D6427">
        <w:rPr>
          <w:szCs w:val="22"/>
          <w:lang w:val="fr-FR"/>
        </w:rPr>
        <w:t>:</w:t>
      </w:r>
      <w:proofErr w:type="gramStart"/>
      <w:r w:rsidRPr="006D6427">
        <w:rPr>
          <w:szCs w:val="22"/>
          <w:lang w:val="fr-FR"/>
        </w:rPr>
        <w:t>2009:</w:t>
      </w:r>
      <w:proofErr w:type="gramEnd"/>
      <w:r w:rsidRPr="006D6427">
        <w:rPr>
          <w:szCs w:val="22"/>
          <w:lang w:val="fr-FR"/>
        </w:rPr>
        <w:t>85, § 81-</w:t>
      </w:r>
      <w:proofErr w:type="gramStart"/>
      <w:r w:rsidRPr="006D6427">
        <w:rPr>
          <w:szCs w:val="22"/>
          <w:lang w:val="fr-FR"/>
        </w:rPr>
        <w:t>82;</w:t>
      </w:r>
      <w:proofErr w:type="gramEnd"/>
      <w:r w:rsidRPr="006D6427">
        <w:rPr>
          <w:szCs w:val="22"/>
          <w:lang w:val="fr-FR"/>
        </w:rPr>
        <w:t xml:space="preserve"> 04/03/2010, C-193/09 P, ARCOL / CAPOL, </w:t>
      </w:r>
      <w:proofErr w:type="gramStart"/>
      <w:r w:rsidRPr="006D6427">
        <w:rPr>
          <w:szCs w:val="22"/>
          <w:lang w:val="fr-FR"/>
        </w:rPr>
        <w:t>EU:C:2010:</w:t>
      </w:r>
      <w:proofErr w:type="gramEnd"/>
      <w:r w:rsidRPr="006D6427">
        <w:rPr>
          <w:szCs w:val="22"/>
          <w:lang w:val="fr-FR"/>
        </w:rPr>
        <w:t>121).</w:t>
      </w:r>
    </w:p>
    <w:p w14:paraId="2535C26A" w14:textId="77777777" w:rsidR="002D24B2" w:rsidRPr="006D6427" w:rsidRDefault="002D24B2" w:rsidP="002D24B2">
      <w:pPr>
        <w:jc w:val="both"/>
        <w:rPr>
          <w:szCs w:val="22"/>
          <w:lang w:val="fr-FR"/>
        </w:rPr>
      </w:pPr>
    </w:p>
    <w:p w14:paraId="478A7E26" w14:textId="176E5CB2" w:rsidR="003E1EF4" w:rsidRPr="006D6427" w:rsidRDefault="00402B43" w:rsidP="00532E50">
      <w:pPr>
        <w:jc w:val="both"/>
        <w:rPr>
          <w:szCs w:val="22"/>
          <w:lang w:val="fr-FR"/>
        </w:rPr>
      </w:pPr>
      <w:r w:rsidRPr="006D6427">
        <w:rPr>
          <w:szCs w:val="22"/>
          <w:lang w:val="fr-FR"/>
        </w:rPr>
        <w:t>Ainsi,</w:t>
      </w:r>
      <w:r w:rsidR="002D24B2" w:rsidRPr="006D6427">
        <w:rPr>
          <w:szCs w:val="22"/>
          <w:lang w:val="fr-FR"/>
        </w:rPr>
        <w:t xml:space="preserve"> en l’espèce, la division d’opposition estime que</w:t>
      </w:r>
      <w:r w:rsidRPr="006D6427">
        <w:rPr>
          <w:szCs w:val="22"/>
          <w:lang w:val="fr-FR"/>
        </w:rPr>
        <w:t xml:space="preserve"> les différences relevées ont certainement </w:t>
      </w:r>
      <w:r w:rsidR="0023394D" w:rsidRPr="006D6427">
        <w:rPr>
          <w:szCs w:val="22"/>
          <w:lang w:val="fr-FR"/>
        </w:rPr>
        <w:t xml:space="preserve">un impact </w:t>
      </w:r>
      <w:r w:rsidR="00F74FBE" w:rsidRPr="006D6427">
        <w:rPr>
          <w:szCs w:val="22"/>
          <w:lang w:val="fr-FR"/>
        </w:rPr>
        <w:t xml:space="preserve">déterminant </w:t>
      </w:r>
      <w:r w:rsidR="0023394D" w:rsidRPr="006D6427">
        <w:rPr>
          <w:szCs w:val="22"/>
          <w:lang w:val="fr-FR"/>
        </w:rPr>
        <w:t>sur la perception visuelle que le consommateur aura des signes</w:t>
      </w:r>
      <w:r w:rsidRPr="006D6427">
        <w:rPr>
          <w:szCs w:val="22"/>
          <w:lang w:val="fr-FR"/>
        </w:rPr>
        <w:t xml:space="preserve"> et</w:t>
      </w:r>
      <w:r w:rsidR="002D24B2" w:rsidRPr="006D6427">
        <w:rPr>
          <w:szCs w:val="22"/>
          <w:lang w:val="fr-FR"/>
        </w:rPr>
        <w:t xml:space="preserve"> que </w:t>
      </w:r>
      <w:r w:rsidR="005453F4" w:rsidRPr="006D6427">
        <w:rPr>
          <w:szCs w:val="22"/>
          <w:lang w:val="fr-FR"/>
        </w:rPr>
        <w:t xml:space="preserve">les signes </w:t>
      </w:r>
      <w:r w:rsidR="002D24B2" w:rsidRPr="006D6427">
        <w:rPr>
          <w:szCs w:val="22"/>
          <w:lang w:val="fr-FR"/>
        </w:rPr>
        <w:t xml:space="preserve">ne </w:t>
      </w:r>
      <w:r w:rsidR="005453F4" w:rsidRPr="006D6427">
        <w:rPr>
          <w:szCs w:val="22"/>
          <w:lang w:val="fr-FR"/>
        </w:rPr>
        <w:t xml:space="preserve">présentent </w:t>
      </w:r>
      <w:r w:rsidR="002D24B2" w:rsidRPr="006D6427">
        <w:rPr>
          <w:szCs w:val="22"/>
          <w:lang w:val="fr-FR"/>
        </w:rPr>
        <w:t>dès lors qu’</w:t>
      </w:r>
      <w:r w:rsidR="005453F4" w:rsidRPr="006D6427">
        <w:rPr>
          <w:szCs w:val="22"/>
          <w:lang w:val="fr-FR"/>
        </w:rPr>
        <w:t>un faible degré de similitude</w:t>
      </w:r>
      <w:r w:rsidR="00F427ED" w:rsidRPr="006D6427">
        <w:rPr>
          <w:szCs w:val="22"/>
          <w:lang w:val="fr-FR"/>
        </w:rPr>
        <w:t xml:space="preserve"> visuelle</w:t>
      </w:r>
      <w:r w:rsidR="0023394D" w:rsidRPr="006D6427">
        <w:rPr>
          <w:szCs w:val="22"/>
          <w:lang w:val="fr-FR"/>
        </w:rPr>
        <w:t>.</w:t>
      </w:r>
    </w:p>
    <w:p w14:paraId="3A847850" w14:textId="77777777" w:rsidR="0023394D" w:rsidRPr="006D6427" w:rsidRDefault="0023394D" w:rsidP="00532E50">
      <w:pPr>
        <w:jc w:val="both"/>
        <w:rPr>
          <w:b/>
          <w:szCs w:val="22"/>
          <w:lang w:val="fr-FR"/>
        </w:rPr>
      </w:pPr>
      <w:bookmarkStart w:id="14" w:name="chk-paragraph-9-3-3-2-7_nodeId--78903758"/>
      <w:bookmarkEnd w:id="13"/>
    </w:p>
    <w:p w14:paraId="060FF7BE" w14:textId="54CB54AB" w:rsidR="00F427ED" w:rsidRPr="006D6427" w:rsidRDefault="005453F4" w:rsidP="00F427ED">
      <w:pPr>
        <w:jc w:val="both"/>
        <w:rPr>
          <w:szCs w:val="22"/>
          <w:lang w:val="fr-FR"/>
        </w:rPr>
      </w:pPr>
      <w:r w:rsidRPr="006D6427">
        <w:rPr>
          <w:b/>
          <w:szCs w:val="22"/>
          <w:lang w:val="fr-FR"/>
        </w:rPr>
        <w:lastRenderedPageBreak/>
        <w:t>Sur le plan phonétique</w:t>
      </w:r>
      <w:r w:rsidRPr="006D6427">
        <w:rPr>
          <w:szCs w:val="22"/>
          <w:lang w:val="fr-FR"/>
        </w:rPr>
        <w:t>,</w:t>
      </w:r>
      <w:r w:rsidR="0023394D" w:rsidRPr="006D6427">
        <w:rPr>
          <w:szCs w:val="22"/>
          <w:lang w:val="fr-FR"/>
        </w:rPr>
        <w:t xml:space="preserve"> </w:t>
      </w:r>
      <w:r w:rsidRPr="006D6427">
        <w:rPr>
          <w:szCs w:val="22"/>
          <w:lang w:val="fr-FR"/>
        </w:rPr>
        <w:t xml:space="preserve">indépendamment des différentes règles de prononciation dans différentes </w:t>
      </w:r>
      <w:r w:rsidR="00F427ED" w:rsidRPr="006D6427">
        <w:rPr>
          <w:szCs w:val="22"/>
          <w:lang w:val="fr-FR"/>
        </w:rPr>
        <w:t xml:space="preserve">langues envisagées, </w:t>
      </w:r>
      <w:r w:rsidRPr="006D6427">
        <w:rPr>
          <w:szCs w:val="22"/>
          <w:lang w:val="fr-FR"/>
        </w:rPr>
        <w:t xml:space="preserve">la prononciation des signes </w:t>
      </w:r>
      <w:r w:rsidR="00F427ED" w:rsidRPr="006D6427">
        <w:rPr>
          <w:szCs w:val="22"/>
          <w:lang w:val="fr-FR"/>
        </w:rPr>
        <w:t xml:space="preserve">se caractérise par les syllabes </w:t>
      </w:r>
      <w:proofErr w:type="gramStart"/>
      <w:r w:rsidR="00F427ED" w:rsidRPr="006D6427">
        <w:rPr>
          <w:szCs w:val="22"/>
          <w:lang w:val="fr-FR"/>
        </w:rPr>
        <w:t>suivantes:</w:t>
      </w:r>
      <w:proofErr w:type="gramEnd"/>
      <w:r w:rsidR="00F427ED" w:rsidRPr="006D6427">
        <w:rPr>
          <w:szCs w:val="22"/>
          <w:lang w:val="fr-FR"/>
        </w:rPr>
        <w:t xml:space="preserve"> « RE-VER-SO » et « RE-ZE-RO ». Ainsi, la prononciation des signes </w:t>
      </w:r>
      <w:r w:rsidRPr="006D6427">
        <w:rPr>
          <w:szCs w:val="22"/>
          <w:lang w:val="fr-FR"/>
        </w:rPr>
        <w:t xml:space="preserve">coïncide </w:t>
      </w:r>
      <w:r w:rsidR="00B46847" w:rsidRPr="006D6427">
        <w:rPr>
          <w:szCs w:val="22"/>
          <w:lang w:val="fr-FR"/>
        </w:rPr>
        <w:t xml:space="preserve">à tout le moins </w:t>
      </w:r>
      <w:r w:rsidR="00E6249B" w:rsidRPr="006D6427">
        <w:rPr>
          <w:szCs w:val="22"/>
          <w:lang w:val="fr-FR"/>
        </w:rPr>
        <w:t xml:space="preserve">par </w:t>
      </w:r>
      <w:r w:rsidRPr="006D6427">
        <w:rPr>
          <w:szCs w:val="22"/>
          <w:lang w:val="fr-FR"/>
        </w:rPr>
        <w:t xml:space="preserve">la sonorité des lettres </w:t>
      </w:r>
      <w:r w:rsidR="00F427ED" w:rsidRPr="006D6427">
        <w:rPr>
          <w:szCs w:val="22"/>
          <w:lang w:val="fr-FR"/>
        </w:rPr>
        <w:t>« R-</w:t>
      </w:r>
      <w:r w:rsidR="00B46847" w:rsidRPr="006D6427">
        <w:rPr>
          <w:szCs w:val="22"/>
          <w:lang w:val="fr-FR"/>
        </w:rPr>
        <w:t>*</w:t>
      </w:r>
      <w:r w:rsidR="00F427ED" w:rsidRPr="006D6427">
        <w:rPr>
          <w:szCs w:val="22"/>
          <w:lang w:val="fr-FR"/>
        </w:rPr>
        <w:t>-*-</w:t>
      </w:r>
      <w:r w:rsidR="00B46847" w:rsidRPr="006D6427">
        <w:rPr>
          <w:szCs w:val="22"/>
          <w:lang w:val="fr-FR"/>
        </w:rPr>
        <w:t>*</w:t>
      </w:r>
      <w:r w:rsidR="00F427ED" w:rsidRPr="006D6427">
        <w:rPr>
          <w:szCs w:val="22"/>
          <w:lang w:val="fr-FR"/>
        </w:rPr>
        <w:t>-R</w:t>
      </w:r>
      <w:proofErr w:type="gramStart"/>
      <w:r w:rsidR="00F427ED" w:rsidRPr="006D6427">
        <w:rPr>
          <w:szCs w:val="22"/>
          <w:lang w:val="fr-FR"/>
        </w:rPr>
        <w:t>-(*)-</w:t>
      </w:r>
      <w:proofErr w:type="gramEnd"/>
      <w:r w:rsidR="00F427ED" w:rsidRPr="006D6427">
        <w:rPr>
          <w:szCs w:val="22"/>
          <w:lang w:val="fr-FR"/>
        </w:rPr>
        <w:t>O »</w:t>
      </w:r>
      <w:r w:rsidR="00E6249B" w:rsidRPr="006D6427">
        <w:rPr>
          <w:szCs w:val="22"/>
          <w:lang w:val="fr-FR"/>
        </w:rPr>
        <w:t xml:space="preserve"> </w:t>
      </w:r>
      <w:r w:rsidR="00B46847" w:rsidRPr="006D6427">
        <w:rPr>
          <w:szCs w:val="22"/>
          <w:lang w:val="fr-FR"/>
        </w:rPr>
        <w:t>et peut, selon les langues du public envisagé, également coïncider par les sons des lettres « E »</w:t>
      </w:r>
      <w:r w:rsidR="001454CA" w:rsidRPr="006D6427">
        <w:rPr>
          <w:szCs w:val="22"/>
          <w:lang w:val="fr-FR"/>
        </w:rPr>
        <w:t xml:space="preserve">. En effet, en français, par exemple, </w:t>
      </w:r>
      <w:r w:rsidR="00B46847" w:rsidRPr="006D6427">
        <w:rPr>
          <w:szCs w:val="22"/>
          <w:lang w:val="fr-FR"/>
        </w:rPr>
        <w:t xml:space="preserve">la prononciation de la lettre « E » </w:t>
      </w:r>
      <w:r w:rsidR="001454CA" w:rsidRPr="006D6427">
        <w:rPr>
          <w:szCs w:val="22"/>
          <w:lang w:val="fr-FR"/>
        </w:rPr>
        <w:t xml:space="preserve">peut </w:t>
      </w:r>
      <w:r w:rsidR="005C7291" w:rsidRPr="006D6427">
        <w:rPr>
          <w:szCs w:val="22"/>
          <w:lang w:val="fr-FR"/>
        </w:rPr>
        <w:t>varier</w:t>
      </w:r>
      <w:r w:rsidR="00B46847" w:rsidRPr="006D6427">
        <w:rPr>
          <w:szCs w:val="22"/>
          <w:lang w:val="fr-FR"/>
        </w:rPr>
        <w:t xml:space="preserve"> quelque peu en fonction de la lettre qui précède et/ou qui suit</w:t>
      </w:r>
      <w:r w:rsidR="001454CA" w:rsidRPr="006D6427">
        <w:rPr>
          <w:szCs w:val="22"/>
          <w:lang w:val="fr-FR"/>
        </w:rPr>
        <w:t xml:space="preserve"> qui entraînent qu’elle sera </w:t>
      </w:r>
      <w:r w:rsidR="00B46847" w:rsidRPr="006D6427">
        <w:rPr>
          <w:szCs w:val="22"/>
          <w:lang w:val="fr-FR"/>
        </w:rPr>
        <w:t xml:space="preserve">prononcée </w:t>
      </w:r>
      <w:r w:rsidR="001454CA" w:rsidRPr="006D6427">
        <w:rPr>
          <w:szCs w:val="22"/>
          <w:lang w:val="fr-FR"/>
        </w:rPr>
        <w:t xml:space="preserve">avec </w:t>
      </w:r>
      <w:r w:rsidR="00B46847" w:rsidRPr="006D6427">
        <w:rPr>
          <w:szCs w:val="22"/>
          <w:lang w:val="fr-FR"/>
        </w:rPr>
        <w:t>un son fermé</w:t>
      </w:r>
      <w:r w:rsidR="001454CA" w:rsidRPr="006D6427">
        <w:rPr>
          <w:szCs w:val="22"/>
          <w:lang w:val="fr-FR"/>
        </w:rPr>
        <w:t xml:space="preserve"> ou </w:t>
      </w:r>
      <w:r w:rsidR="00B46847" w:rsidRPr="006D6427">
        <w:rPr>
          <w:szCs w:val="22"/>
          <w:lang w:val="fr-FR"/>
        </w:rPr>
        <w:t>ouvert</w:t>
      </w:r>
      <w:r w:rsidR="001454CA" w:rsidRPr="006D6427">
        <w:rPr>
          <w:szCs w:val="22"/>
          <w:lang w:val="fr-FR"/>
        </w:rPr>
        <w:t>,</w:t>
      </w:r>
      <w:r w:rsidR="00B46847" w:rsidRPr="006D6427">
        <w:rPr>
          <w:szCs w:val="22"/>
          <w:lang w:val="fr-FR"/>
        </w:rPr>
        <w:t xml:space="preserve"> ou </w:t>
      </w:r>
      <w:r w:rsidR="001454CA" w:rsidRPr="006D6427">
        <w:rPr>
          <w:szCs w:val="22"/>
          <w:lang w:val="fr-FR"/>
        </w:rPr>
        <w:t xml:space="preserve">encore </w:t>
      </w:r>
      <w:r w:rsidR="00B46847" w:rsidRPr="006D6427">
        <w:rPr>
          <w:szCs w:val="22"/>
          <w:lang w:val="fr-FR"/>
        </w:rPr>
        <w:t xml:space="preserve">comme un </w:t>
      </w:r>
      <w:r w:rsidR="001214E0" w:rsidRPr="006D6427">
        <w:rPr>
          <w:szCs w:val="22"/>
          <w:lang w:val="fr-FR"/>
        </w:rPr>
        <w:t>« </w:t>
      </w:r>
      <w:r w:rsidR="00B46847" w:rsidRPr="006D6427">
        <w:rPr>
          <w:szCs w:val="22"/>
          <w:lang w:val="fr-FR"/>
        </w:rPr>
        <w:t>schwa</w:t>
      </w:r>
      <w:r w:rsidR="001214E0" w:rsidRPr="006D6427">
        <w:rPr>
          <w:szCs w:val="22"/>
          <w:lang w:val="fr-FR"/>
        </w:rPr>
        <w:t> »</w:t>
      </w:r>
      <w:r w:rsidR="00B46847" w:rsidRPr="006D6427">
        <w:rPr>
          <w:szCs w:val="22"/>
          <w:lang w:val="fr-FR"/>
        </w:rPr>
        <w:t>. Toutefois</w:t>
      </w:r>
      <w:r w:rsidR="001454CA" w:rsidRPr="006D6427">
        <w:rPr>
          <w:szCs w:val="22"/>
          <w:lang w:val="fr-FR"/>
        </w:rPr>
        <w:t xml:space="preserve"> et en tout état de cause, la prononciation des signes </w:t>
      </w:r>
      <w:r w:rsidR="004778EF" w:rsidRPr="006D6427">
        <w:rPr>
          <w:szCs w:val="22"/>
          <w:lang w:val="fr-FR"/>
        </w:rPr>
        <w:t xml:space="preserve">diffère </w:t>
      </w:r>
      <w:r w:rsidR="00F427ED" w:rsidRPr="006D6427">
        <w:rPr>
          <w:szCs w:val="22"/>
          <w:lang w:val="fr-FR"/>
        </w:rPr>
        <w:t xml:space="preserve">par le son des lettres « *-*-V/Z-*-*-(S)-* ». </w:t>
      </w:r>
      <w:r w:rsidR="004778EF" w:rsidRPr="006D6427">
        <w:rPr>
          <w:szCs w:val="22"/>
          <w:lang w:val="fr-FR"/>
        </w:rPr>
        <w:t xml:space="preserve">De plus, parmi les </w:t>
      </w:r>
      <w:r w:rsidR="00F427ED" w:rsidRPr="006D6427">
        <w:rPr>
          <w:szCs w:val="22"/>
          <w:lang w:val="fr-FR"/>
        </w:rPr>
        <w:t>lettres communes</w:t>
      </w:r>
      <w:r w:rsidR="004778EF" w:rsidRPr="006D6427">
        <w:rPr>
          <w:szCs w:val="22"/>
          <w:lang w:val="fr-FR"/>
        </w:rPr>
        <w:t>, certaines</w:t>
      </w:r>
      <w:r w:rsidR="00F427ED" w:rsidRPr="006D6427">
        <w:rPr>
          <w:szCs w:val="22"/>
          <w:lang w:val="fr-FR"/>
        </w:rPr>
        <w:t xml:space="preserve"> sont réparti</w:t>
      </w:r>
      <w:r w:rsidR="001F56E9" w:rsidRPr="006D6427">
        <w:rPr>
          <w:szCs w:val="22"/>
          <w:lang w:val="fr-FR"/>
        </w:rPr>
        <w:t>e</w:t>
      </w:r>
      <w:r w:rsidR="00F427ED" w:rsidRPr="006D6427">
        <w:rPr>
          <w:szCs w:val="22"/>
          <w:lang w:val="fr-FR"/>
        </w:rPr>
        <w:t xml:space="preserve">s sur des syllabes différentes. Ainsi, s’il est vrai que les signes ont plusieurs </w:t>
      </w:r>
      <w:r w:rsidR="00896E35" w:rsidRPr="006D6427">
        <w:rPr>
          <w:szCs w:val="22"/>
          <w:lang w:val="fr-FR"/>
        </w:rPr>
        <w:t xml:space="preserve">lettres et sons </w:t>
      </w:r>
      <w:r w:rsidR="00F427ED" w:rsidRPr="006D6427">
        <w:rPr>
          <w:szCs w:val="22"/>
          <w:lang w:val="fr-FR"/>
        </w:rPr>
        <w:t xml:space="preserve">en commun, </w:t>
      </w:r>
      <w:r w:rsidR="004778EF" w:rsidRPr="006D6427">
        <w:rPr>
          <w:szCs w:val="22"/>
          <w:lang w:val="fr-FR"/>
        </w:rPr>
        <w:t xml:space="preserve">il demeure que </w:t>
      </w:r>
      <w:r w:rsidR="00F427ED" w:rsidRPr="006D6427">
        <w:rPr>
          <w:szCs w:val="22"/>
          <w:lang w:val="fr-FR"/>
        </w:rPr>
        <w:t>sur leurs trois syllabes respectives, seule la première coïncide</w:t>
      </w:r>
      <w:r w:rsidR="00896E35" w:rsidRPr="006D6427">
        <w:rPr>
          <w:szCs w:val="22"/>
          <w:lang w:val="fr-FR"/>
        </w:rPr>
        <w:t>. L’ordre et</w:t>
      </w:r>
      <w:r w:rsidR="001F56E9" w:rsidRPr="006D6427">
        <w:rPr>
          <w:szCs w:val="22"/>
          <w:lang w:val="fr-FR"/>
        </w:rPr>
        <w:t>/ou</w:t>
      </w:r>
      <w:r w:rsidR="00896E35" w:rsidRPr="006D6427">
        <w:rPr>
          <w:szCs w:val="22"/>
          <w:lang w:val="fr-FR"/>
        </w:rPr>
        <w:t xml:space="preserve"> le </w:t>
      </w:r>
      <w:r w:rsidR="00F427ED" w:rsidRPr="006D6427">
        <w:rPr>
          <w:szCs w:val="22"/>
          <w:lang w:val="fr-FR"/>
        </w:rPr>
        <w:t xml:space="preserve">rang </w:t>
      </w:r>
      <w:r w:rsidR="00896E35" w:rsidRPr="006D6427">
        <w:rPr>
          <w:szCs w:val="22"/>
          <w:lang w:val="fr-FR"/>
        </w:rPr>
        <w:t xml:space="preserve">différent des </w:t>
      </w:r>
      <w:r w:rsidR="00F427ED" w:rsidRPr="006D6427">
        <w:rPr>
          <w:szCs w:val="22"/>
          <w:lang w:val="fr-FR"/>
        </w:rPr>
        <w:t>lettres communes</w:t>
      </w:r>
      <w:r w:rsidR="00896E35" w:rsidRPr="006D6427">
        <w:rPr>
          <w:szCs w:val="22"/>
          <w:lang w:val="fr-FR"/>
        </w:rPr>
        <w:t xml:space="preserve"> </w:t>
      </w:r>
      <w:r w:rsidR="00F427ED" w:rsidRPr="006D6427">
        <w:rPr>
          <w:szCs w:val="22"/>
          <w:lang w:val="fr-FR"/>
        </w:rPr>
        <w:t xml:space="preserve">dans les deux dernières syllabes respectives </w:t>
      </w:r>
      <w:r w:rsidR="00896E35" w:rsidRPr="006D6427">
        <w:rPr>
          <w:szCs w:val="22"/>
          <w:lang w:val="fr-FR"/>
        </w:rPr>
        <w:t xml:space="preserve">et la présence des lettres différentes </w:t>
      </w:r>
      <w:r w:rsidR="00F427ED" w:rsidRPr="006D6427">
        <w:rPr>
          <w:szCs w:val="22"/>
          <w:lang w:val="fr-FR"/>
        </w:rPr>
        <w:t>dilu</w:t>
      </w:r>
      <w:r w:rsidR="00896E35" w:rsidRPr="006D6427">
        <w:rPr>
          <w:szCs w:val="22"/>
          <w:lang w:val="fr-FR"/>
        </w:rPr>
        <w:t>e</w:t>
      </w:r>
      <w:r w:rsidR="00F427ED" w:rsidRPr="006D6427">
        <w:rPr>
          <w:szCs w:val="22"/>
          <w:lang w:val="fr-FR"/>
        </w:rPr>
        <w:t xml:space="preserve">nt </w:t>
      </w:r>
      <w:r w:rsidR="00896E35" w:rsidRPr="006D6427">
        <w:rPr>
          <w:szCs w:val="22"/>
          <w:lang w:val="fr-FR"/>
        </w:rPr>
        <w:t xml:space="preserve">ainsi </w:t>
      </w:r>
      <w:r w:rsidR="00F427ED" w:rsidRPr="006D6427">
        <w:rPr>
          <w:szCs w:val="22"/>
          <w:lang w:val="fr-FR"/>
        </w:rPr>
        <w:t xml:space="preserve">substantiellement </w:t>
      </w:r>
      <w:r w:rsidR="00896E35" w:rsidRPr="006D6427">
        <w:rPr>
          <w:szCs w:val="22"/>
          <w:lang w:val="fr-FR"/>
        </w:rPr>
        <w:t xml:space="preserve">les similitudes causées par les sons individuels </w:t>
      </w:r>
      <w:r w:rsidR="001F56E9" w:rsidRPr="006D6427">
        <w:rPr>
          <w:szCs w:val="22"/>
          <w:lang w:val="fr-FR"/>
        </w:rPr>
        <w:t xml:space="preserve">des </w:t>
      </w:r>
      <w:r w:rsidR="00F427ED" w:rsidRPr="006D6427">
        <w:rPr>
          <w:szCs w:val="22"/>
          <w:lang w:val="fr-FR"/>
        </w:rPr>
        <w:t>lettres communes. En conséquence, les signes ne présentent qu’un faible degré de similitude auditive.</w:t>
      </w:r>
    </w:p>
    <w:p w14:paraId="2D9FEDF2" w14:textId="77777777" w:rsidR="00F427ED" w:rsidRPr="006D6427" w:rsidRDefault="00F427ED" w:rsidP="00F427ED">
      <w:pPr>
        <w:jc w:val="both"/>
        <w:rPr>
          <w:b/>
          <w:szCs w:val="22"/>
          <w:lang w:val="fr-FR"/>
        </w:rPr>
      </w:pPr>
    </w:p>
    <w:p w14:paraId="478A7E44" w14:textId="3D196646" w:rsidR="003E1EF4" w:rsidRPr="006D6427" w:rsidRDefault="005453F4" w:rsidP="00532E50">
      <w:pPr>
        <w:jc w:val="both"/>
        <w:rPr>
          <w:szCs w:val="22"/>
          <w:lang w:val="fr-FR"/>
        </w:rPr>
      </w:pPr>
      <w:bookmarkStart w:id="15" w:name="chk-paragraph-9-3-3-2-8_nodeId-190523850"/>
      <w:bookmarkEnd w:id="14"/>
      <w:r w:rsidRPr="006D6427">
        <w:rPr>
          <w:b/>
          <w:szCs w:val="22"/>
          <w:lang w:val="fr-FR"/>
        </w:rPr>
        <w:t>Sur le plan conceptuel</w:t>
      </w:r>
      <w:r w:rsidRPr="006D6427">
        <w:rPr>
          <w:szCs w:val="22"/>
          <w:lang w:val="fr-FR"/>
        </w:rPr>
        <w:t xml:space="preserve">, aucun des deux signes n’a de signification pour </w:t>
      </w:r>
      <w:r w:rsidR="00896E35" w:rsidRPr="006D6427">
        <w:rPr>
          <w:szCs w:val="22"/>
          <w:lang w:val="fr-FR"/>
        </w:rPr>
        <w:t xml:space="preserve">les parties envisagées du </w:t>
      </w:r>
      <w:r w:rsidRPr="006D6427">
        <w:rPr>
          <w:szCs w:val="22"/>
          <w:lang w:val="fr-FR"/>
        </w:rPr>
        <w:t>public</w:t>
      </w:r>
      <w:r w:rsidR="00896E35" w:rsidRPr="006D6427">
        <w:rPr>
          <w:szCs w:val="22"/>
          <w:lang w:val="fr-FR"/>
        </w:rPr>
        <w:t xml:space="preserve"> pertinent</w:t>
      </w:r>
      <w:r w:rsidRPr="006D6427">
        <w:rPr>
          <w:szCs w:val="22"/>
          <w:lang w:val="fr-FR"/>
        </w:rPr>
        <w:t xml:space="preserve">. </w:t>
      </w:r>
      <w:proofErr w:type="spellStart"/>
      <w:r w:rsidRPr="006D6427">
        <w:rPr>
          <w:szCs w:val="22"/>
          <w:lang w:val="fr-FR"/>
        </w:rPr>
        <w:t>Etant</w:t>
      </w:r>
      <w:proofErr w:type="spellEnd"/>
      <w:r w:rsidRPr="006D6427">
        <w:rPr>
          <w:szCs w:val="22"/>
          <w:lang w:val="fr-FR"/>
        </w:rPr>
        <w:t xml:space="preserve"> donné que la comparaison conceptuelle n’est pas possible, l’aspect conceptuel n’a pas d’incidence sur l’appréciation de la similitude des signes.</w:t>
      </w:r>
    </w:p>
    <w:p w14:paraId="478A7E45" w14:textId="0CB621EE" w:rsidR="003E1EF4" w:rsidRPr="006D6427" w:rsidRDefault="005453F4" w:rsidP="00532E50">
      <w:pPr>
        <w:jc w:val="both"/>
        <w:rPr>
          <w:szCs w:val="22"/>
          <w:lang w:val="fr-FR"/>
        </w:rPr>
      </w:pPr>
      <w:r w:rsidRPr="006D6427">
        <w:rPr>
          <w:szCs w:val="22"/>
          <w:lang w:val="fr-FR"/>
        </w:rPr>
        <w:t> </w:t>
      </w:r>
    </w:p>
    <w:p w14:paraId="478A7E5F" w14:textId="77777777" w:rsidR="003E1EF4" w:rsidRPr="006D6427" w:rsidRDefault="005453F4" w:rsidP="00532E50">
      <w:pPr>
        <w:jc w:val="both"/>
        <w:rPr>
          <w:szCs w:val="22"/>
          <w:lang w:val="fr-FR"/>
        </w:rPr>
      </w:pPr>
      <w:bookmarkStart w:id="16" w:name="chk-paragraph-9-3-3-2-9-1_nodeId--592845"/>
      <w:bookmarkEnd w:id="15"/>
      <w:r w:rsidRPr="006D6427">
        <w:rPr>
          <w:szCs w:val="22"/>
          <w:lang w:val="fr-FR"/>
        </w:rPr>
        <w:t>Dans la mesure où les signes présentent des similitudes au regard d’un aspect de la comparaison au moins, l’examen du risque de confusion sera réalisé.</w:t>
      </w:r>
    </w:p>
    <w:p w14:paraId="478A7E60" w14:textId="37BCF414" w:rsidR="003E1EF4" w:rsidRPr="006D6427" w:rsidRDefault="005453F4" w:rsidP="00532E50">
      <w:pPr>
        <w:jc w:val="both"/>
        <w:rPr>
          <w:szCs w:val="22"/>
          <w:lang w:val="fr-FR"/>
        </w:rPr>
      </w:pPr>
      <w:r w:rsidRPr="006D6427">
        <w:rPr>
          <w:szCs w:val="22"/>
          <w:lang w:val="fr-FR"/>
        </w:rPr>
        <w:t> </w:t>
      </w:r>
    </w:p>
    <w:p w14:paraId="5E37585E" w14:textId="77777777" w:rsidR="00656625" w:rsidRPr="006D6427" w:rsidRDefault="00656625" w:rsidP="00532E50">
      <w:pPr>
        <w:jc w:val="both"/>
        <w:rPr>
          <w:szCs w:val="22"/>
          <w:lang w:val="fr-FR"/>
        </w:rPr>
      </w:pPr>
    </w:p>
    <w:p w14:paraId="478A7E61" w14:textId="19296AC0" w:rsidR="003E1EF4" w:rsidRPr="006D6427" w:rsidRDefault="005453F4" w:rsidP="00532E50">
      <w:pPr>
        <w:jc w:val="both"/>
        <w:rPr>
          <w:szCs w:val="22"/>
          <w:lang w:val="fr-FR"/>
        </w:rPr>
      </w:pPr>
      <w:bookmarkStart w:id="17" w:name="chk-paragraph-9-3-4_nodeId-712655740"/>
      <w:bookmarkEnd w:id="16"/>
      <w:r w:rsidRPr="006D6427">
        <w:rPr>
          <w:b/>
          <w:szCs w:val="22"/>
          <w:lang w:val="fr-FR"/>
        </w:rPr>
        <w:t>d) Caractère distinctif de la marque antérieure</w:t>
      </w:r>
    </w:p>
    <w:p w14:paraId="478A7E62" w14:textId="0EF36E71" w:rsidR="003E1EF4" w:rsidRPr="006D6427" w:rsidRDefault="005453F4" w:rsidP="00532E50">
      <w:pPr>
        <w:jc w:val="both"/>
        <w:rPr>
          <w:szCs w:val="22"/>
          <w:lang w:val="fr-FR"/>
        </w:rPr>
      </w:pPr>
      <w:r w:rsidRPr="006D6427">
        <w:rPr>
          <w:szCs w:val="22"/>
          <w:lang w:val="fr-FR"/>
        </w:rPr>
        <w:t> </w:t>
      </w:r>
    </w:p>
    <w:p w14:paraId="478A7E63" w14:textId="77777777" w:rsidR="003E1EF4" w:rsidRPr="006D6427" w:rsidRDefault="005453F4" w:rsidP="00532E50">
      <w:pPr>
        <w:jc w:val="both"/>
        <w:rPr>
          <w:szCs w:val="22"/>
          <w:lang w:val="fr-FR"/>
        </w:rPr>
      </w:pPr>
      <w:r w:rsidRPr="006D6427">
        <w:rPr>
          <w:szCs w:val="22"/>
          <w:lang w:val="fr-FR"/>
        </w:rPr>
        <w:t>Le caractère distinctif de la marque antérieure est l’un des facteurs à prendre en considération lors de l’appréciation globale du risque de confusion.</w:t>
      </w:r>
    </w:p>
    <w:p w14:paraId="478A7E64" w14:textId="6056FB16" w:rsidR="003E1EF4" w:rsidRPr="006D6427" w:rsidRDefault="005453F4" w:rsidP="00532E50">
      <w:pPr>
        <w:jc w:val="both"/>
        <w:rPr>
          <w:szCs w:val="22"/>
          <w:lang w:val="fr-FR"/>
        </w:rPr>
      </w:pPr>
      <w:r w:rsidRPr="006D6427">
        <w:rPr>
          <w:szCs w:val="22"/>
          <w:lang w:val="fr-FR"/>
        </w:rPr>
        <w:t> </w:t>
      </w:r>
    </w:p>
    <w:p w14:paraId="26745DB2" w14:textId="4B75124A" w:rsidR="0022002B" w:rsidRPr="006D6427" w:rsidRDefault="0022002B" w:rsidP="0022002B">
      <w:pPr>
        <w:jc w:val="both"/>
        <w:rPr>
          <w:szCs w:val="22"/>
          <w:lang w:val="fr-FR"/>
        </w:rPr>
      </w:pPr>
      <w:bookmarkStart w:id="18" w:name="chk-paragraph-9-3-4-9_nodeId-622893333"/>
      <w:bookmarkEnd w:id="17"/>
      <w:r w:rsidRPr="006D6427">
        <w:rPr>
          <w:szCs w:val="22"/>
          <w:lang w:val="fr-FR"/>
        </w:rPr>
        <w:t xml:space="preserve">La renommée de la marque antérieure et son caractère distinctif élevé ont déjà été établis supra sur la base des pièces fournies par l’opposante. Comme indiqué supra, il ressort de ces pièces que la marque antérieure a acquis une renommée en France et dans la partie francophone de la Belgique où elle jouit d’un caractère distinctif élevé. </w:t>
      </w:r>
    </w:p>
    <w:p w14:paraId="5ED0FB17" w14:textId="77777777" w:rsidR="009651CC" w:rsidRPr="006D6427" w:rsidRDefault="009651CC" w:rsidP="00532E50">
      <w:pPr>
        <w:jc w:val="both"/>
        <w:rPr>
          <w:szCs w:val="22"/>
          <w:lang w:val="fr-FR"/>
        </w:rPr>
      </w:pPr>
    </w:p>
    <w:p w14:paraId="39D50D71" w14:textId="77777777" w:rsidR="0022002B" w:rsidRPr="006D6427" w:rsidRDefault="0022002B" w:rsidP="00532E50">
      <w:pPr>
        <w:jc w:val="both"/>
        <w:rPr>
          <w:szCs w:val="22"/>
          <w:lang w:val="fr-FR"/>
        </w:rPr>
      </w:pPr>
    </w:p>
    <w:p w14:paraId="478A7E8D" w14:textId="796C7B28" w:rsidR="003E1EF4" w:rsidRPr="006D6427" w:rsidRDefault="005453F4" w:rsidP="00532E50">
      <w:pPr>
        <w:jc w:val="both"/>
        <w:rPr>
          <w:szCs w:val="22"/>
          <w:lang w:val="fr-FR"/>
        </w:rPr>
      </w:pPr>
      <w:bookmarkStart w:id="19" w:name="chk-paragraph-9-3-5_nodeId--1332642858"/>
      <w:bookmarkEnd w:id="18"/>
      <w:r w:rsidRPr="006D6427">
        <w:rPr>
          <w:b/>
          <w:szCs w:val="22"/>
          <w:lang w:val="fr-FR"/>
        </w:rPr>
        <w:t>e) Appréciation globale, autres arguments et conclusion</w:t>
      </w:r>
    </w:p>
    <w:p w14:paraId="478A7E8E" w14:textId="71F31751" w:rsidR="003E1EF4" w:rsidRPr="006D6427" w:rsidRDefault="005453F4" w:rsidP="00532E50">
      <w:pPr>
        <w:jc w:val="both"/>
        <w:rPr>
          <w:szCs w:val="22"/>
          <w:lang w:val="fr-FR"/>
        </w:rPr>
      </w:pPr>
      <w:r w:rsidRPr="006D6427">
        <w:rPr>
          <w:szCs w:val="22"/>
          <w:lang w:val="fr-FR"/>
        </w:rPr>
        <w:t> </w:t>
      </w:r>
    </w:p>
    <w:p w14:paraId="0B7EF815" w14:textId="47E351B7" w:rsidR="004778EF" w:rsidRPr="006D6427" w:rsidRDefault="004778EF" w:rsidP="00F87700">
      <w:pPr>
        <w:jc w:val="both"/>
        <w:rPr>
          <w:szCs w:val="22"/>
          <w:lang w:val="fr-FR"/>
        </w:rPr>
      </w:pPr>
      <w:r w:rsidRPr="006D6427">
        <w:rPr>
          <w:szCs w:val="22"/>
          <w:lang w:val="fr-FR"/>
        </w:rPr>
        <w:t xml:space="preserve">L’opposante fait remarquer qu’il est de jurisprudence constante que l’appréciation globale du risque de confusion implique une certaine interdépendance entre les facteurs pris en compte et, notamment, la similitude des marques et celle des produits ou des services. Ainsi, un faible degré de similitude entre les produits et services peut être compensé par un degré élevé de similitude entre les marques et </w:t>
      </w:r>
      <w:r w:rsidR="00710ED1" w:rsidRPr="006D6427">
        <w:rPr>
          <w:szCs w:val="22"/>
          <w:lang w:val="fr-FR"/>
        </w:rPr>
        <w:t>inversement (29/09/1998, C</w:t>
      </w:r>
      <w:r w:rsidR="00710ED1" w:rsidRPr="006D6427">
        <w:rPr>
          <w:szCs w:val="22"/>
          <w:lang w:val="fr-FR"/>
        </w:rPr>
        <w:noBreakHyphen/>
        <w:t xml:space="preserve">39/97, Canon, </w:t>
      </w:r>
      <w:proofErr w:type="gramStart"/>
      <w:r w:rsidR="00710ED1" w:rsidRPr="006D6427">
        <w:rPr>
          <w:szCs w:val="22"/>
          <w:lang w:val="fr-FR"/>
        </w:rPr>
        <w:t>EU:C:1998:</w:t>
      </w:r>
      <w:proofErr w:type="gramEnd"/>
      <w:r w:rsidR="00710ED1" w:rsidRPr="006D6427">
        <w:rPr>
          <w:szCs w:val="22"/>
          <w:lang w:val="fr-FR"/>
        </w:rPr>
        <w:t xml:space="preserve">442, § 17). </w:t>
      </w:r>
    </w:p>
    <w:p w14:paraId="5DD4B3A8" w14:textId="77777777" w:rsidR="00FE2747" w:rsidRPr="006D6427" w:rsidRDefault="00FE2747" w:rsidP="00F87700">
      <w:pPr>
        <w:jc w:val="both"/>
        <w:rPr>
          <w:szCs w:val="22"/>
          <w:lang w:val="fr-FR"/>
        </w:rPr>
      </w:pPr>
    </w:p>
    <w:p w14:paraId="577DD992" w14:textId="124B4EE5" w:rsidR="00FE2747" w:rsidRPr="006D6427" w:rsidRDefault="00710ED1" w:rsidP="00FE2747">
      <w:pPr>
        <w:jc w:val="both"/>
        <w:rPr>
          <w:szCs w:val="22"/>
          <w:lang w:val="fr-FR"/>
        </w:rPr>
      </w:pPr>
      <w:r w:rsidRPr="006D6427">
        <w:rPr>
          <w:szCs w:val="22"/>
          <w:lang w:val="fr-FR"/>
        </w:rPr>
        <w:t xml:space="preserve">En l’espèce, il est vrai que les produits sont identiques. Ils s’adressent au grand public ainsi qu’à des clients professionnels ayant une expertise ou des connaissances professionnelles spécifiques et le niveau d’attention peut varier de moyen à </w:t>
      </w:r>
      <w:proofErr w:type="spellStart"/>
      <w:r w:rsidRPr="006D6427">
        <w:rPr>
          <w:szCs w:val="22"/>
          <w:lang w:val="fr-FR"/>
        </w:rPr>
        <w:t>élevé</w:t>
      </w:r>
      <w:proofErr w:type="spellEnd"/>
      <w:r w:rsidRPr="006D6427">
        <w:rPr>
          <w:szCs w:val="22"/>
          <w:lang w:val="fr-FR"/>
        </w:rPr>
        <w:t xml:space="preserve"> en fonction de la nature spécialisée des produits, de la fréquence d’achat et du prix des produits. De plus, </w:t>
      </w:r>
      <w:r w:rsidR="00FE2747" w:rsidRPr="006D6427">
        <w:rPr>
          <w:szCs w:val="22"/>
          <w:lang w:val="fr-FR"/>
        </w:rPr>
        <w:t>la marque antérieure présente un caractère distinctif élevé</w:t>
      </w:r>
      <w:r w:rsidR="00E05B1B" w:rsidRPr="006D6427">
        <w:rPr>
          <w:szCs w:val="22"/>
          <w:lang w:val="fr-FR"/>
        </w:rPr>
        <w:t xml:space="preserve"> auprès du public français et de la partie francophone de la Belgique, et c</w:t>
      </w:r>
      <w:r w:rsidR="00FE2747" w:rsidRPr="006D6427">
        <w:rPr>
          <w:szCs w:val="22"/>
          <w:lang w:val="fr-FR"/>
        </w:rPr>
        <w:t>omme le souligne également l’opposante, « le risque de confusion est d'autant plus élevé que le caractère distinctif de la marque antérieure s'avère important » et, par conséquent, les marques qui ont un caractère distinctif élevé en raison de la connaissance de celles-ci sur le marché, jouissent d'une protection plus étendue que celles dont le caractère distinctif est moindre (29/09/1998, C-39/97, Canon, EU:C:1998:442, § 18).</w:t>
      </w:r>
    </w:p>
    <w:p w14:paraId="0400C0B9" w14:textId="12109E6B" w:rsidR="00710ED1" w:rsidRPr="006D6427" w:rsidRDefault="00710ED1" w:rsidP="00F87700">
      <w:pPr>
        <w:jc w:val="both"/>
        <w:rPr>
          <w:szCs w:val="22"/>
          <w:lang w:val="fr-FR"/>
        </w:rPr>
      </w:pPr>
    </w:p>
    <w:p w14:paraId="3CAB622E" w14:textId="79F3D3E5" w:rsidR="003A1281" w:rsidRPr="006D6427" w:rsidRDefault="00710ED1" w:rsidP="00F87700">
      <w:pPr>
        <w:jc w:val="both"/>
        <w:rPr>
          <w:szCs w:val="22"/>
          <w:lang w:val="fr-FR"/>
        </w:rPr>
      </w:pPr>
      <w:r w:rsidRPr="006D6427">
        <w:rPr>
          <w:szCs w:val="22"/>
          <w:lang w:val="fr-FR"/>
        </w:rPr>
        <w:lastRenderedPageBreak/>
        <w:t xml:space="preserve">Toutefois, </w:t>
      </w:r>
      <w:r w:rsidR="00FE2747" w:rsidRPr="006D6427">
        <w:rPr>
          <w:szCs w:val="22"/>
          <w:lang w:val="fr-FR"/>
        </w:rPr>
        <w:t xml:space="preserve">visuellement et phonétiquement </w:t>
      </w:r>
      <w:r w:rsidR="00F87700" w:rsidRPr="006D6427">
        <w:rPr>
          <w:szCs w:val="22"/>
          <w:lang w:val="fr-FR"/>
        </w:rPr>
        <w:t>l</w:t>
      </w:r>
      <w:r w:rsidR="005453F4" w:rsidRPr="006D6427">
        <w:rPr>
          <w:szCs w:val="22"/>
          <w:lang w:val="fr-FR"/>
        </w:rPr>
        <w:t xml:space="preserve">es signes </w:t>
      </w:r>
      <w:r w:rsidR="00F87700" w:rsidRPr="006D6427">
        <w:rPr>
          <w:szCs w:val="22"/>
          <w:lang w:val="fr-FR"/>
        </w:rPr>
        <w:t xml:space="preserve">ne </w:t>
      </w:r>
      <w:r w:rsidR="005453F4" w:rsidRPr="006D6427">
        <w:rPr>
          <w:szCs w:val="22"/>
          <w:lang w:val="fr-FR"/>
        </w:rPr>
        <w:t>sont</w:t>
      </w:r>
      <w:r w:rsidR="00656625" w:rsidRPr="006D6427">
        <w:rPr>
          <w:szCs w:val="22"/>
          <w:lang w:val="fr-FR"/>
        </w:rPr>
        <w:t xml:space="preserve"> similaires </w:t>
      </w:r>
      <w:r w:rsidRPr="006D6427">
        <w:rPr>
          <w:szCs w:val="22"/>
          <w:lang w:val="fr-FR"/>
        </w:rPr>
        <w:t>qu’</w:t>
      </w:r>
      <w:r w:rsidR="00656625" w:rsidRPr="006D6427">
        <w:rPr>
          <w:szCs w:val="22"/>
          <w:lang w:val="fr-FR"/>
        </w:rPr>
        <w:t>à un faible degré</w:t>
      </w:r>
      <w:r w:rsidR="00FE2747" w:rsidRPr="006D6427">
        <w:rPr>
          <w:szCs w:val="22"/>
          <w:lang w:val="fr-FR"/>
        </w:rPr>
        <w:t xml:space="preserve"> tandis que l’aspect conceptuel n’a pas d’incidence sur la comparaison des signes pour la partie du public envisagée</w:t>
      </w:r>
      <w:r w:rsidR="00E05B1B" w:rsidRPr="006D6427">
        <w:rPr>
          <w:szCs w:val="22"/>
          <w:lang w:val="fr-FR"/>
        </w:rPr>
        <w:t xml:space="preserve"> supra</w:t>
      </w:r>
      <w:r w:rsidR="004A6CFB" w:rsidRPr="006D6427">
        <w:rPr>
          <w:szCs w:val="22"/>
          <w:lang w:val="fr-FR"/>
        </w:rPr>
        <w:t>.</w:t>
      </w:r>
      <w:r w:rsidR="00F87700" w:rsidRPr="006D6427">
        <w:rPr>
          <w:szCs w:val="22"/>
          <w:lang w:val="fr-FR"/>
        </w:rPr>
        <w:t xml:space="preserve"> En effet, </w:t>
      </w:r>
      <w:r w:rsidRPr="006D6427">
        <w:rPr>
          <w:szCs w:val="22"/>
          <w:lang w:val="fr-FR"/>
        </w:rPr>
        <w:t xml:space="preserve">bien </w:t>
      </w:r>
      <w:r w:rsidR="00F87700" w:rsidRPr="006D6427">
        <w:rPr>
          <w:szCs w:val="22"/>
          <w:lang w:val="fr-FR"/>
        </w:rPr>
        <w:t xml:space="preserve">que les signes </w:t>
      </w:r>
      <w:r w:rsidR="00FE2747" w:rsidRPr="006D6427">
        <w:rPr>
          <w:szCs w:val="22"/>
          <w:lang w:val="fr-FR"/>
        </w:rPr>
        <w:t>aient</w:t>
      </w:r>
      <w:r w:rsidR="00F87700" w:rsidRPr="006D6427">
        <w:rPr>
          <w:szCs w:val="22"/>
          <w:lang w:val="fr-FR"/>
        </w:rPr>
        <w:t xml:space="preserve"> plusieurs lettres et sons en commun, les lettres différentes et leurs sons viennent interrompre la séquence des lettres communes et, dans une certaine mesure, leur ordre et rang</w:t>
      </w:r>
      <w:r w:rsidRPr="006D6427">
        <w:rPr>
          <w:szCs w:val="22"/>
          <w:lang w:val="fr-FR"/>
        </w:rPr>
        <w:t>, ce qui a également des effets sur la répartition des lettres sur les trois syllabes des signes</w:t>
      </w:r>
      <w:r w:rsidR="00F87700" w:rsidRPr="006D6427">
        <w:rPr>
          <w:szCs w:val="22"/>
          <w:lang w:val="fr-FR"/>
        </w:rPr>
        <w:t xml:space="preserve">. </w:t>
      </w:r>
    </w:p>
    <w:p w14:paraId="5F1B7A92" w14:textId="77777777" w:rsidR="00710ED1" w:rsidRPr="006D6427" w:rsidRDefault="00710ED1" w:rsidP="00F87700">
      <w:pPr>
        <w:jc w:val="both"/>
        <w:rPr>
          <w:szCs w:val="22"/>
          <w:lang w:val="fr-FR"/>
        </w:rPr>
      </w:pPr>
    </w:p>
    <w:p w14:paraId="288D5540" w14:textId="5738C294" w:rsidR="00F87700" w:rsidRPr="006D6427" w:rsidRDefault="00710ED1" w:rsidP="00F87700">
      <w:pPr>
        <w:jc w:val="both"/>
        <w:rPr>
          <w:szCs w:val="22"/>
          <w:lang w:val="fr-FR"/>
        </w:rPr>
      </w:pPr>
      <w:r w:rsidRPr="006D6427">
        <w:rPr>
          <w:szCs w:val="22"/>
          <w:lang w:val="fr-FR"/>
        </w:rPr>
        <w:t xml:space="preserve">Ces </w:t>
      </w:r>
      <w:r w:rsidR="00F87700" w:rsidRPr="006D6427">
        <w:rPr>
          <w:szCs w:val="22"/>
          <w:lang w:val="fr-FR"/>
        </w:rPr>
        <w:t xml:space="preserve">différences visuelles et auditives </w:t>
      </w:r>
      <w:r w:rsidR="009651CC" w:rsidRPr="006D6427">
        <w:rPr>
          <w:szCs w:val="22"/>
          <w:lang w:val="fr-FR"/>
        </w:rPr>
        <w:t xml:space="preserve">sont clairement et immédiatement perceptibles et </w:t>
      </w:r>
      <w:r w:rsidR="00F87700" w:rsidRPr="006D6427">
        <w:rPr>
          <w:szCs w:val="22"/>
          <w:lang w:val="fr-FR"/>
        </w:rPr>
        <w:t xml:space="preserve">auront ainsi un impact </w:t>
      </w:r>
      <w:r w:rsidRPr="006D6427">
        <w:rPr>
          <w:szCs w:val="22"/>
          <w:lang w:val="fr-FR"/>
        </w:rPr>
        <w:t xml:space="preserve">important </w:t>
      </w:r>
      <w:r w:rsidR="00F87700" w:rsidRPr="006D6427">
        <w:rPr>
          <w:szCs w:val="22"/>
          <w:lang w:val="fr-FR"/>
        </w:rPr>
        <w:t xml:space="preserve">sur la perception que le consommateur aura des signes. Ainsi, même en présence de produits identiques, et même en tenant compte </w:t>
      </w:r>
      <w:r w:rsidRPr="006D6427">
        <w:rPr>
          <w:szCs w:val="22"/>
          <w:lang w:val="fr-FR"/>
        </w:rPr>
        <w:t xml:space="preserve">des principes relevés supra et </w:t>
      </w:r>
      <w:r w:rsidR="00F87700" w:rsidRPr="006D6427">
        <w:rPr>
          <w:szCs w:val="22"/>
          <w:lang w:val="fr-FR"/>
        </w:rPr>
        <w:t>du fait que le consommateur moyen n’a que rarement la possibilité de procéder à une comparaison directe des différentes marques, mais doit se fier à l’image imparfaite qu’il a gardée en mémoire (22/06/1999, C</w:t>
      </w:r>
      <w:r w:rsidR="00F87700" w:rsidRPr="006D6427">
        <w:rPr>
          <w:szCs w:val="22"/>
          <w:lang w:val="fr-FR"/>
        </w:rPr>
        <w:noBreakHyphen/>
        <w:t xml:space="preserve">342/97, Lloyd </w:t>
      </w:r>
      <w:proofErr w:type="spellStart"/>
      <w:r w:rsidR="00F87700" w:rsidRPr="006D6427">
        <w:rPr>
          <w:szCs w:val="22"/>
          <w:lang w:val="fr-FR"/>
        </w:rPr>
        <w:t>Schuhfabrik</w:t>
      </w:r>
      <w:proofErr w:type="spellEnd"/>
      <w:r w:rsidR="00F87700" w:rsidRPr="006D6427">
        <w:rPr>
          <w:szCs w:val="22"/>
          <w:lang w:val="fr-FR"/>
        </w:rPr>
        <w:t xml:space="preserve">, EU:C:1999:323, § 26), la division d’opposition considère </w:t>
      </w:r>
      <w:r w:rsidR="003A1281" w:rsidRPr="006D6427">
        <w:rPr>
          <w:szCs w:val="22"/>
          <w:lang w:val="fr-FR"/>
        </w:rPr>
        <w:t xml:space="preserve">que ces différences </w:t>
      </w:r>
      <w:r w:rsidR="00F87700" w:rsidRPr="006D6427">
        <w:rPr>
          <w:szCs w:val="22"/>
          <w:lang w:val="fr-FR"/>
        </w:rPr>
        <w:t>suffis</w:t>
      </w:r>
      <w:r w:rsidR="003A1281" w:rsidRPr="006D6427">
        <w:rPr>
          <w:szCs w:val="22"/>
          <w:lang w:val="fr-FR"/>
        </w:rPr>
        <w:t>e</w:t>
      </w:r>
      <w:r w:rsidR="00F87700" w:rsidRPr="006D6427">
        <w:rPr>
          <w:szCs w:val="22"/>
          <w:lang w:val="fr-FR"/>
        </w:rPr>
        <w:t xml:space="preserve">nt </w:t>
      </w:r>
      <w:r w:rsidR="003A1281" w:rsidRPr="006D6427">
        <w:rPr>
          <w:szCs w:val="22"/>
          <w:lang w:val="fr-FR"/>
        </w:rPr>
        <w:t xml:space="preserve">pour </w:t>
      </w:r>
      <w:r w:rsidR="00F87700" w:rsidRPr="006D6427">
        <w:rPr>
          <w:szCs w:val="22"/>
          <w:lang w:val="fr-FR"/>
        </w:rPr>
        <w:t xml:space="preserve">exclure tout risque de confusion entre les </w:t>
      </w:r>
      <w:r w:rsidR="003A1281" w:rsidRPr="006D6427">
        <w:rPr>
          <w:szCs w:val="22"/>
          <w:lang w:val="fr-FR"/>
        </w:rPr>
        <w:t>signes en cause</w:t>
      </w:r>
      <w:r w:rsidR="0022002B" w:rsidRPr="006D6427">
        <w:rPr>
          <w:szCs w:val="22"/>
          <w:lang w:val="fr-FR"/>
        </w:rPr>
        <w:t xml:space="preserve">, et ce, en dépit du caractère distinctif élevé </w:t>
      </w:r>
      <w:r w:rsidR="008C6FCE" w:rsidRPr="006D6427">
        <w:rPr>
          <w:szCs w:val="22"/>
          <w:lang w:val="fr-FR"/>
        </w:rPr>
        <w:t>dont jouit</w:t>
      </w:r>
      <w:r w:rsidR="0022002B" w:rsidRPr="006D6427">
        <w:rPr>
          <w:szCs w:val="22"/>
          <w:lang w:val="fr-FR"/>
        </w:rPr>
        <w:t xml:space="preserve"> la marque antérieure</w:t>
      </w:r>
      <w:r w:rsidR="008C6FCE" w:rsidRPr="006D6427">
        <w:rPr>
          <w:szCs w:val="22"/>
          <w:lang w:val="fr-FR"/>
        </w:rPr>
        <w:t xml:space="preserve"> auprès du public français et du public de la partie francophone de la Belgique</w:t>
      </w:r>
      <w:r w:rsidR="00F87700" w:rsidRPr="006D6427">
        <w:rPr>
          <w:szCs w:val="22"/>
          <w:lang w:val="fr-FR"/>
        </w:rPr>
        <w:t xml:space="preserve">. </w:t>
      </w:r>
    </w:p>
    <w:p w14:paraId="6BDFA6EE" w14:textId="77777777" w:rsidR="003A1281" w:rsidRPr="006D6427" w:rsidRDefault="003A1281" w:rsidP="00F87700">
      <w:pPr>
        <w:jc w:val="both"/>
        <w:rPr>
          <w:szCs w:val="22"/>
          <w:lang w:val="fr-FR"/>
        </w:rPr>
      </w:pPr>
    </w:p>
    <w:p w14:paraId="478A7EAE" w14:textId="6C448C40" w:rsidR="003E1EF4" w:rsidRPr="006D6427" w:rsidRDefault="00710ED1" w:rsidP="008C6FCE">
      <w:pPr>
        <w:jc w:val="both"/>
        <w:rPr>
          <w:szCs w:val="22"/>
          <w:lang w:val="fr-FR"/>
        </w:rPr>
      </w:pPr>
      <w:bookmarkStart w:id="20" w:name="chk-paragraph-9-3-7_nodeId-1620323765"/>
      <w:bookmarkEnd w:id="19"/>
      <w:r w:rsidRPr="006D6427">
        <w:rPr>
          <w:szCs w:val="22"/>
          <w:lang w:val="fr-FR"/>
        </w:rPr>
        <w:t>C</w:t>
      </w:r>
      <w:r w:rsidR="005453F4" w:rsidRPr="006D6427">
        <w:rPr>
          <w:szCs w:val="22"/>
          <w:lang w:val="fr-FR"/>
        </w:rPr>
        <w:t xml:space="preserve">ette absence de risque de confusion s’applique également à la partie du public </w:t>
      </w:r>
      <w:r w:rsidRPr="006D6427">
        <w:rPr>
          <w:szCs w:val="22"/>
          <w:lang w:val="fr-FR"/>
        </w:rPr>
        <w:t xml:space="preserve">qui </w:t>
      </w:r>
      <w:r w:rsidR="00FE2747" w:rsidRPr="006D6427">
        <w:rPr>
          <w:szCs w:val="22"/>
          <w:lang w:val="fr-FR"/>
        </w:rPr>
        <w:t>associera</w:t>
      </w:r>
      <w:r w:rsidRPr="006D6427">
        <w:rPr>
          <w:szCs w:val="22"/>
          <w:lang w:val="fr-FR"/>
        </w:rPr>
        <w:t xml:space="preserve"> </w:t>
      </w:r>
      <w:r w:rsidR="00F91706" w:rsidRPr="006D6427">
        <w:rPr>
          <w:szCs w:val="22"/>
          <w:lang w:val="fr-FR"/>
        </w:rPr>
        <w:t xml:space="preserve">notamment la marque antérieure </w:t>
      </w:r>
      <w:r w:rsidR="00FE2747" w:rsidRPr="006D6427">
        <w:rPr>
          <w:szCs w:val="22"/>
          <w:lang w:val="fr-FR"/>
        </w:rPr>
        <w:t>avec un concept</w:t>
      </w:r>
      <w:r w:rsidR="003A356E" w:rsidRPr="006D6427">
        <w:rPr>
          <w:szCs w:val="22"/>
          <w:lang w:val="fr-FR"/>
        </w:rPr>
        <w:t xml:space="preserve"> (par exemple, le public espagnol</w:t>
      </w:r>
      <w:r w:rsidR="008C6FCE" w:rsidRPr="006D6427">
        <w:rPr>
          <w:szCs w:val="22"/>
          <w:lang w:val="fr-FR"/>
        </w:rPr>
        <w:t xml:space="preserve"> pour lequel </w:t>
      </w:r>
      <w:proofErr w:type="spellStart"/>
      <w:r w:rsidR="008C6FCE" w:rsidRPr="006D6427">
        <w:rPr>
          <w:i/>
          <w:iCs/>
          <w:szCs w:val="22"/>
          <w:lang w:val="fr-FR"/>
        </w:rPr>
        <w:t>reverso</w:t>
      </w:r>
      <w:proofErr w:type="spellEnd"/>
      <w:r w:rsidR="008C6FCE" w:rsidRPr="006D6427">
        <w:rPr>
          <w:szCs w:val="22"/>
          <w:lang w:val="fr-FR"/>
        </w:rPr>
        <w:t xml:space="preserve"> signifie </w:t>
      </w:r>
      <w:r w:rsidR="008C6FCE" w:rsidRPr="006D6427">
        <w:rPr>
          <w:i/>
          <w:iCs/>
          <w:szCs w:val="22"/>
          <w:lang w:val="fr-FR"/>
        </w:rPr>
        <w:t>verso</w:t>
      </w:r>
      <w:r w:rsidR="008C6FCE" w:rsidRPr="006D6427">
        <w:rPr>
          <w:szCs w:val="22"/>
          <w:lang w:val="fr-FR"/>
        </w:rPr>
        <w:t xml:space="preserve"> </w:t>
      </w:r>
      <w:proofErr w:type="gramStart"/>
      <w:r w:rsidR="008C6FCE" w:rsidRPr="006D6427">
        <w:rPr>
          <w:szCs w:val="22"/>
          <w:lang w:val="fr-FR"/>
        </w:rPr>
        <w:t>ou</w:t>
      </w:r>
      <w:proofErr w:type="gramEnd"/>
      <w:r w:rsidR="008C6FCE" w:rsidRPr="006D6427">
        <w:rPr>
          <w:szCs w:val="22"/>
          <w:lang w:val="fr-FR"/>
        </w:rPr>
        <w:t xml:space="preserve"> </w:t>
      </w:r>
      <w:r w:rsidR="008C6FCE" w:rsidRPr="006D6427">
        <w:rPr>
          <w:i/>
          <w:iCs/>
          <w:szCs w:val="22"/>
          <w:lang w:val="fr-FR"/>
        </w:rPr>
        <w:t>être l’opposé de quelque chose</w:t>
      </w:r>
      <w:r w:rsidR="008C6FCE" w:rsidRPr="006D6427">
        <w:rPr>
          <w:szCs w:val="22"/>
          <w:lang w:val="fr-FR"/>
        </w:rPr>
        <w:t xml:space="preserve">, voir Dictionnaire Larousse espagnol-français à l’adresse </w:t>
      </w:r>
      <w:r w:rsidR="008C6FCE" w:rsidRPr="006D6427">
        <w:rPr>
          <w:color w:val="000000"/>
          <w:lang w:val="fr-FR"/>
        </w:rPr>
        <w:t>https://www.larousse.fr/dictionnaires/espagnol-francais/reverso/221719</w:t>
      </w:r>
      <w:r w:rsidR="003A356E" w:rsidRPr="006D6427">
        <w:rPr>
          <w:szCs w:val="22"/>
          <w:lang w:val="fr-FR"/>
        </w:rPr>
        <w:t>)</w:t>
      </w:r>
      <w:r w:rsidR="005453F4" w:rsidRPr="006D6427">
        <w:rPr>
          <w:szCs w:val="22"/>
          <w:lang w:val="fr-FR"/>
        </w:rPr>
        <w:t xml:space="preserve">. En effet, </w:t>
      </w:r>
      <w:r w:rsidRPr="006D6427">
        <w:rPr>
          <w:szCs w:val="22"/>
          <w:lang w:val="fr-FR"/>
        </w:rPr>
        <w:t>pour cette partie du public, compte tenu du fait que</w:t>
      </w:r>
      <w:r w:rsidR="008C6FCE" w:rsidRPr="006D6427">
        <w:rPr>
          <w:szCs w:val="22"/>
          <w:lang w:val="fr-FR"/>
        </w:rPr>
        <w:t>, en tout état de cause,</w:t>
      </w:r>
      <w:r w:rsidRPr="006D6427">
        <w:rPr>
          <w:szCs w:val="22"/>
          <w:lang w:val="fr-FR"/>
        </w:rPr>
        <w:t xml:space="preserve"> </w:t>
      </w:r>
      <w:r w:rsidR="00F91706" w:rsidRPr="006D6427">
        <w:rPr>
          <w:szCs w:val="22"/>
          <w:lang w:val="fr-FR"/>
        </w:rPr>
        <w:t xml:space="preserve">les signes ne coïncideront pas </w:t>
      </w:r>
      <w:r w:rsidR="00FE2747" w:rsidRPr="006D6427">
        <w:rPr>
          <w:szCs w:val="22"/>
          <w:lang w:val="fr-FR"/>
        </w:rPr>
        <w:t xml:space="preserve">dans </w:t>
      </w:r>
      <w:r w:rsidR="00F91706" w:rsidRPr="006D6427">
        <w:rPr>
          <w:szCs w:val="22"/>
          <w:lang w:val="fr-FR"/>
        </w:rPr>
        <w:t>le concept véhiculé</w:t>
      </w:r>
      <w:r w:rsidR="00FE2747" w:rsidRPr="006D6427">
        <w:rPr>
          <w:szCs w:val="22"/>
          <w:lang w:val="fr-FR"/>
        </w:rPr>
        <w:t xml:space="preserve"> notamment par la marque antérieure</w:t>
      </w:r>
      <w:r w:rsidR="00F91706" w:rsidRPr="006D6427">
        <w:rPr>
          <w:szCs w:val="22"/>
          <w:lang w:val="fr-FR"/>
        </w:rPr>
        <w:t xml:space="preserve">, il existera en tout état de cause une différence conceptuelle </w:t>
      </w:r>
      <w:r w:rsidR="00FE2747" w:rsidRPr="006D6427">
        <w:rPr>
          <w:szCs w:val="22"/>
          <w:lang w:val="fr-FR"/>
        </w:rPr>
        <w:t xml:space="preserve">entre les signes </w:t>
      </w:r>
      <w:r w:rsidR="00F91706" w:rsidRPr="006D6427">
        <w:rPr>
          <w:szCs w:val="22"/>
          <w:lang w:val="fr-FR"/>
        </w:rPr>
        <w:t xml:space="preserve">qui </w:t>
      </w:r>
      <w:r w:rsidR="00FE2747" w:rsidRPr="006D6427">
        <w:rPr>
          <w:szCs w:val="22"/>
          <w:lang w:val="fr-FR"/>
        </w:rPr>
        <w:t>permettra d’autant mieux de les distinguer l’un de l’autre</w:t>
      </w:r>
    </w:p>
    <w:p w14:paraId="0C244B09" w14:textId="77777777" w:rsidR="0088713E" w:rsidRPr="006D6427" w:rsidRDefault="0088713E" w:rsidP="00532E50">
      <w:pPr>
        <w:jc w:val="both"/>
        <w:rPr>
          <w:szCs w:val="22"/>
          <w:lang w:val="fr-FR"/>
        </w:rPr>
      </w:pPr>
    </w:p>
    <w:p w14:paraId="0024A2AD" w14:textId="0B764C0F" w:rsidR="00FE2747" w:rsidRPr="006D6427" w:rsidRDefault="00FE2747" w:rsidP="00FE2747">
      <w:pPr>
        <w:jc w:val="both"/>
        <w:rPr>
          <w:szCs w:val="22"/>
          <w:lang w:val="fr-FR"/>
        </w:rPr>
      </w:pPr>
      <w:r w:rsidRPr="006D6427">
        <w:rPr>
          <w:szCs w:val="22"/>
          <w:lang w:val="fr-FR"/>
        </w:rPr>
        <w:t xml:space="preserve">Toutefois, </w:t>
      </w:r>
      <w:r w:rsidR="003576E0" w:rsidRPr="006D6427">
        <w:rPr>
          <w:szCs w:val="22"/>
          <w:lang w:val="fr-FR"/>
        </w:rPr>
        <w:t xml:space="preserve">l’opposante ayant également invoqué </w:t>
      </w:r>
      <w:r w:rsidRPr="006D6427">
        <w:rPr>
          <w:szCs w:val="22"/>
          <w:lang w:val="fr-FR"/>
        </w:rPr>
        <w:t xml:space="preserve">l’article 8, paragraphe 5, du RMUE, </w:t>
      </w:r>
      <w:r w:rsidR="003576E0" w:rsidRPr="006D6427">
        <w:rPr>
          <w:szCs w:val="22"/>
          <w:lang w:val="fr-FR"/>
        </w:rPr>
        <w:t>la division d’opposition procèdera ci-après à l’examen de l’opposition au regard dudit article.</w:t>
      </w:r>
    </w:p>
    <w:p w14:paraId="750FA6ED" w14:textId="77777777" w:rsidR="0088713E" w:rsidRPr="006D6427" w:rsidRDefault="0088713E" w:rsidP="00532E50">
      <w:pPr>
        <w:jc w:val="both"/>
        <w:rPr>
          <w:szCs w:val="22"/>
          <w:lang w:val="fr-FR"/>
        </w:rPr>
      </w:pPr>
    </w:p>
    <w:p w14:paraId="3F957EFA" w14:textId="77777777" w:rsidR="00FE2747" w:rsidRPr="006D6427" w:rsidRDefault="00FE2747" w:rsidP="00532E50">
      <w:pPr>
        <w:jc w:val="both"/>
        <w:rPr>
          <w:szCs w:val="22"/>
          <w:lang w:val="fr-FR"/>
        </w:rPr>
      </w:pPr>
    </w:p>
    <w:p w14:paraId="68080FF1" w14:textId="205D8335" w:rsidR="0088713E" w:rsidRPr="006D6427" w:rsidRDefault="0022002B" w:rsidP="003576E0">
      <w:pPr>
        <w:keepNext/>
        <w:jc w:val="both"/>
        <w:rPr>
          <w:szCs w:val="22"/>
          <w:lang w:val="fr-FR"/>
        </w:rPr>
      </w:pPr>
      <w:r w:rsidRPr="006D6427">
        <w:rPr>
          <w:b/>
          <w:szCs w:val="22"/>
          <w:lang w:val="fr-FR"/>
        </w:rPr>
        <w:t>PROFIT INDU TIRE DU</w:t>
      </w:r>
      <w:r w:rsidR="00B142F2" w:rsidRPr="006D6427">
        <w:rPr>
          <w:b/>
          <w:szCs w:val="22"/>
          <w:lang w:val="fr-FR"/>
        </w:rPr>
        <w:t>,</w:t>
      </w:r>
      <w:r w:rsidRPr="006D6427">
        <w:rPr>
          <w:b/>
          <w:szCs w:val="22"/>
          <w:lang w:val="fr-FR"/>
        </w:rPr>
        <w:t xml:space="preserve"> </w:t>
      </w:r>
      <w:r w:rsidR="00B142F2" w:rsidRPr="006D6427">
        <w:rPr>
          <w:b/>
          <w:szCs w:val="22"/>
          <w:lang w:val="fr-FR"/>
        </w:rPr>
        <w:t xml:space="preserve">OU PREJUDICE PORTE AU </w:t>
      </w:r>
      <w:r w:rsidRPr="006D6427">
        <w:rPr>
          <w:b/>
          <w:szCs w:val="22"/>
          <w:lang w:val="fr-FR"/>
        </w:rPr>
        <w:t>CARACTERE DISTINCTIF OU DE LA RENOMMEE DE LA MARQUE ANTERIEURE – ARTICLE </w:t>
      </w:r>
      <w:r w:rsidR="0088713E" w:rsidRPr="006D6427">
        <w:rPr>
          <w:b/>
          <w:szCs w:val="22"/>
          <w:lang w:val="fr-FR"/>
        </w:rPr>
        <w:t>8, PARAGRAPHE 5, DU RMUE</w:t>
      </w:r>
    </w:p>
    <w:p w14:paraId="52ACAF1F" w14:textId="77777777" w:rsidR="0088713E" w:rsidRPr="006D6427" w:rsidRDefault="0088713E" w:rsidP="003576E0">
      <w:pPr>
        <w:keepNext/>
        <w:jc w:val="both"/>
        <w:rPr>
          <w:szCs w:val="22"/>
          <w:lang w:val="fr-FR"/>
        </w:rPr>
      </w:pPr>
    </w:p>
    <w:p w14:paraId="45C71685" w14:textId="31B04BC8" w:rsidR="0088713E" w:rsidRPr="006D6427" w:rsidRDefault="0088713E" w:rsidP="0088713E">
      <w:pPr>
        <w:jc w:val="both"/>
        <w:rPr>
          <w:szCs w:val="22"/>
          <w:lang w:val="fr-FR"/>
        </w:rPr>
      </w:pPr>
      <w:r w:rsidRPr="006D6427">
        <w:rPr>
          <w:szCs w:val="22"/>
          <w:lang w:val="fr-FR"/>
        </w:rPr>
        <w:t>Conformément à l’article 8, paragraphe 5, du RMUE, sur opposition de la titulaire d’une marque antérieure enregistrée au sens du paragraphe 2, la marque contestée est refusée à l’enregistrement si elle est identique ou similaire à une marque antérieure, indépendamment du fait que les produits ou services pour lesquels elle est demandée sont identiques, similaires ou non similaires à ceux pour lesquels la marque antérieure est enregistrée, lorsque cette marque antérieure est une marque de l’Union européenne qui jouit d’une renommée dans l’Union ou une marque nationale qui jouit d'une renommée dans l’État membre concerné, et que l’usage sans juste motif de la marque demandée tirerait indûment profit du caractère distinctif ou de la renommée de cette marque antérieure ou leur porterait préjudice.</w:t>
      </w:r>
    </w:p>
    <w:p w14:paraId="01B7D97E" w14:textId="7087F624" w:rsidR="0088713E" w:rsidRPr="006D6427" w:rsidRDefault="0088713E" w:rsidP="0088713E">
      <w:pPr>
        <w:jc w:val="both"/>
        <w:rPr>
          <w:szCs w:val="22"/>
          <w:lang w:val="fr-FR"/>
        </w:rPr>
      </w:pPr>
      <w:r w:rsidRPr="006D6427">
        <w:rPr>
          <w:szCs w:val="22"/>
          <w:lang w:val="fr-FR"/>
        </w:rPr>
        <w:t> </w:t>
      </w:r>
    </w:p>
    <w:p w14:paraId="051F5CD7" w14:textId="6D2320F1" w:rsidR="0088713E" w:rsidRPr="006D6427" w:rsidRDefault="0088713E" w:rsidP="0088713E">
      <w:pPr>
        <w:jc w:val="both"/>
        <w:rPr>
          <w:szCs w:val="22"/>
          <w:lang w:val="fr-FR"/>
        </w:rPr>
      </w:pPr>
      <w:r w:rsidRPr="006D6427">
        <w:rPr>
          <w:szCs w:val="22"/>
          <w:lang w:val="fr-FR"/>
        </w:rPr>
        <w:t>Il résulte de ce qui précède que les motifs de refus prévus à l’article 8, paragraphe 5, du RMUE ne sont applicables que si les conditions suivantes sont remplies.</w:t>
      </w:r>
    </w:p>
    <w:p w14:paraId="1F396213" w14:textId="42222DDD" w:rsidR="0088713E" w:rsidRPr="006D6427" w:rsidRDefault="0088713E" w:rsidP="0088713E">
      <w:pPr>
        <w:jc w:val="both"/>
        <w:rPr>
          <w:szCs w:val="22"/>
          <w:lang w:val="fr-FR"/>
        </w:rPr>
      </w:pPr>
      <w:r w:rsidRPr="006D6427">
        <w:rPr>
          <w:szCs w:val="22"/>
          <w:lang w:val="fr-FR"/>
        </w:rPr>
        <w:t> </w:t>
      </w:r>
    </w:p>
    <w:p w14:paraId="777445B0" w14:textId="6568ED94" w:rsidR="0088713E" w:rsidRPr="006D6427" w:rsidRDefault="006D6427" w:rsidP="006D6427">
      <w:pPr>
        <w:ind w:left="960" w:hanging="360"/>
        <w:jc w:val="both"/>
        <w:rPr>
          <w:szCs w:val="22"/>
          <w:lang w:val="fr-FR"/>
        </w:rPr>
      </w:pPr>
      <w:r w:rsidRPr="006D6427">
        <w:rPr>
          <w:rFonts w:ascii="Symbol" w:hAnsi="Symbol"/>
          <w:szCs w:val="22"/>
          <w:lang w:val="fr-FR"/>
        </w:rPr>
        <w:t></w:t>
      </w:r>
      <w:r w:rsidRPr="006D6427">
        <w:rPr>
          <w:rFonts w:ascii="Symbol" w:hAnsi="Symbol"/>
          <w:szCs w:val="22"/>
          <w:lang w:val="fr-FR"/>
        </w:rPr>
        <w:tab/>
      </w:r>
      <w:r w:rsidR="0088713E" w:rsidRPr="006D6427">
        <w:rPr>
          <w:szCs w:val="22"/>
          <w:lang w:val="fr-FR"/>
        </w:rPr>
        <w:t>Les signes doivent être identiques ou similaires.</w:t>
      </w:r>
    </w:p>
    <w:p w14:paraId="42A256E1" w14:textId="06D71EFE" w:rsidR="0088713E" w:rsidRPr="006D6427" w:rsidRDefault="0088713E" w:rsidP="0088713E">
      <w:pPr>
        <w:ind w:left="960"/>
        <w:jc w:val="both"/>
        <w:rPr>
          <w:szCs w:val="22"/>
          <w:lang w:val="fr-FR"/>
        </w:rPr>
      </w:pPr>
      <w:r w:rsidRPr="006D6427">
        <w:rPr>
          <w:szCs w:val="22"/>
          <w:lang w:val="fr-FR"/>
        </w:rPr>
        <w:t> </w:t>
      </w:r>
    </w:p>
    <w:p w14:paraId="68EBC130" w14:textId="0A868354" w:rsidR="0088713E" w:rsidRPr="006D6427" w:rsidRDefault="006D6427" w:rsidP="006D6427">
      <w:pPr>
        <w:ind w:left="960" w:hanging="360"/>
        <w:jc w:val="both"/>
        <w:rPr>
          <w:szCs w:val="22"/>
          <w:lang w:val="fr-FR"/>
        </w:rPr>
      </w:pPr>
      <w:r w:rsidRPr="006D6427">
        <w:rPr>
          <w:rFonts w:ascii="Symbol" w:hAnsi="Symbol"/>
          <w:szCs w:val="22"/>
          <w:lang w:val="fr-FR"/>
        </w:rPr>
        <w:t></w:t>
      </w:r>
      <w:r w:rsidRPr="006D6427">
        <w:rPr>
          <w:rFonts w:ascii="Symbol" w:hAnsi="Symbol"/>
          <w:szCs w:val="22"/>
          <w:lang w:val="fr-FR"/>
        </w:rPr>
        <w:tab/>
      </w:r>
      <w:r w:rsidR="0088713E" w:rsidRPr="006D6427">
        <w:rPr>
          <w:szCs w:val="22"/>
          <w:lang w:val="fr-FR"/>
        </w:rPr>
        <w:t xml:space="preserve">La marque de l’opposante doit être renommée. La renommée doit également être antérieure au dépôt de la marque </w:t>
      </w:r>
      <w:proofErr w:type="gramStart"/>
      <w:r w:rsidR="0088713E" w:rsidRPr="006D6427">
        <w:rPr>
          <w:szCs w:val="22"/>
          <w:lang w:val="fr-FR"/>
        </w:rPr>
        <w:t>contestée;</w:t>
      </w:r>
      <w:proofErr w:type="gramEnd"/>
      <w:r w:rsidR="0088713E" w:rsidRPr="006D6427">
        <w:rPr>
          <w:szCs w:val="22"/>
          <w:lang w:val="fr-FR"/>
        </w:rPr>
        <w:t xml:space="preserve"> elle doit exister dans le territoire concerné et pour les produits et/ou services pour lesquels l’opposition a été formée.</w:t>
      </w:r>
    </w:p>
    <w:p w14:paraId="375F4B45" w14:textId="189BB0C9" w:rsidR="0088713E" w:rsidRPr="006D6427" w:rsidRDefault="0088713E" w:rsidP="0088713E">
      <w:pPr>
        <w:ind w:left="960"/>
        <w:jc w:val="both"/>
        <w:rPr>
          <w:szCs w:val="22"/>
          <w:lang w:val="fr-FR"/>
        </w:rPr>
      </w:pPr>
      <w:r w:rsidRPr="006D6427">
        <w:rPr>
          <w:szCs w:val="22"/>
          <w:lang w:val="fr-FR"/>
        </w:rPr>
        <w:t> </w:t>
      </w:r>
    </w:p>
    <w:p w14:paraId="5DD76111" w14:textId="6D1CF240" w:rsidR="0088713E" w:rsidRPr="006D6427" w:rsidRDefault="006D6427" w:rsidP="006D6427">
      <w:pPr>
        <w:ind w:left="960" w:hanging="360"/>
        <w:jc w:val="both"/>
        <w:rPr>
          <w:szCs w:val="22"/>
          <w:lang w:val="fr-FR"/>
        </w:rPr>
      </w:pPr>
      <w:r w:rsidRPr="006D6427">
        <w:rPr>
          <w:rFonts w:ascii="Symbol" w:hAnsi="Symbol"/>
          <w:szCs w:val="22"/>
          <w:lang w:val="fr-FR"/>
        </w:rPr>
        <w:lastRenderedPageBreak/>
        <w:t></w:t>
      </w:r>
      <w:r w:rsidRPr="006D6427">
        <w:rPr>
          <w:rFonts w:ascii="Symbol" w:hAnsi="Symbol"/>
          <w:szCs w:val="22"/>
          <w:lang w:val="fr-FR"/>
        </w:rPr>
        <w:tab/>
      </w:r>
      <w:r w:rsidR="0088713E" w:rsidRPr="006D6427">
        <w:rPr>
          <w:szCs w:val="22"/>
          <w:lang w:val="fr-FR"/>
        </w:rPr>
        <w:t xml:space="preserve">Risque de </w:t>
      </w:r>
      <w:proofErr w:type="gramStart"/>
      <w:r w:rsidR="0088713E" w:rsidRPr="006D6427">
        <w:rPr>
          <w:szCs w:val="22"/>
          <w:lang w:val="fr-FR"/>
        </w:rPr>
        <w:t>préjudice:</w:t>
      </w:r>
      <w:proofErr w:type="gramEnd"/>
      <w:r w:rsidR="0088713E" w:rsidRPr="006D6427">
        <w:rPr>
          <w:szCs w:val="22"/>
          <w:lang w:val="fr-FR"/>
        </w:rPr>
        <w:t xml:space="preserve"> l’usage de la marque contestée tirerait indûment profit du caractère distinctif ou de la renommée de la marque antérieure ou leur porterait préjudice.</w:t>
      </w:r>
    </w:p>
    <w:p w14:paraId="2AB3C290" w14:textId="69DEBE99" w:rsidR="0088713E" w:rsidRPr="006D6427" w:rsidRDefault="0088713E" w:rsidP="0088713E">
      <w:pPr>
        <w:jc w:val="both"/>
        <w:rPr>
          <w:szCs w:val="22"/>
          <w:lang w:val="fr-FR"/>
        </w:rPr>
      </w:pPr>
      <w:r w:rsidRPr="006D6427">
        <w:rPr>
          <w:szCs w:val="22"/>
          <w:lang w:val="fr-FR"/>
        </w:rPr>
        <w:t> </w:t>
      </w:r>
    </w:p>
    <w:p w14:paraId="4D3BCBAE" w14:textId="77777777" w:rsidR="0088713E" w:rsidRPr="006D6427" w:rsidRDefault="0088713E" w:rsidP="0088713E">
      <w:pPr>
        <w:jc w:val="both"/>
        <w:rPr>
          <w:szCs w:val="22"/>
          <w:lang w:val="fr-FR"/>
        </w:rPr>
      </w:pPr>
      <w:r w:rsidRPr="006D6427">
        <w:rPr>
          <w:szCs w:val="22"/>
          <w:lang w:val="fr-FR"/>
        </w:rPr>
        <w:t xml:space="preserve">Les conditions susvisées sont cumulatives et l’absence de l’une d’elles entraîne donc le rejet de l’opposition au titre de l’article 8, paragraphe 5, du RMUE (116/12/2010, T-357/08, BOTOCYL / BOTOX, </w:t>
      </w:r>
      <w:proofErr w:type="gramStart"/>
      <w:r w:rsidRPr="006D6427">
        <w:rPr>
          <w:szCs w:val="22"/>
          <w:lang w:val="fr-FR"/>
        </w:rPr>
        <w:t>EU:T</w:t>
      </w:r>
      <w:proofErr w:type="gramEnd"/>
      <w:r w:rsidRPr="006D6427">
        <w:rPr>
          <w:szCs w:val="22"/>
          <w:lang w:val="fr-FR"/>
        </w:rPr>
        <w:t>:</w:t>
      </w:r>
      <w:proofErr w:type="gramStart"/>
      <w:r w:rsidRPr="006D6427">
        <w:rPr>
          <w:szCs w:val="22"/>
          <w:lang w:val="fr-FR"/>
        </w:rPr>
        <w:t>2010:</w:t>
      </w:r>
      <w:proofErr w:type="gramEnd"/>
      <w:r w:rsidRPr="006D6427">
        <w:rPr>
          <w:szCs w:val="22"/>
          <w:lang w:val="fr-FR"/>
        </w:rPr>
        <w:t xml:space="preserve">529, § </w:t>
      </w:r>
      <w:proofErr w:type="gramStart"/>
      <w:r w:rsidRPr="006D6427">
        <w:rPr>
          <w:szCs w:val="22"/>
          <w:lang w:val="fr-FR"/>
        </w:rPr>
        <w:t>41;</w:t>
      </w:r>
      <w:proofErr w:type="gramEnd"/>
      <w:r w:rsidRPr="006D6427">
        <w:rPr>
          <w:szCs w:val="22"/>
          <w:lang w:val="fr-FR"/>
        </w:rPr>
        <w:t xml:space="preserve"> 16/12/2010, T-345/08, BOTOLIST / BOTOX, </w:t>
      </w:r>
      <w:proofErr w:type="gramStart"/>
      <w:r w:rsidRPr="006D6427">
        <w:rPr>
          <w:szCs w:val="22"/>
          <w:lang w:val="fr-FR"/>
        </w:rPr>
        <w:t>EU:T</w:t>
      </w:r>
      <w:proofErr w:type="gramEnd"/>
      <w:r w:rsidRPr="006D6427">
        <w:rPr>
          <w:szCs w:val="22"/>
          <w:lang w:val="fr-FR"/>
        </w:rPr>
        <w:t>:</w:t>
      </w:r>
      <w:proofErr w:type="gramStart"/>
      <w:r w:rsidRPr="006D6427">
        <w:rPr>
          <w:szCs w:val="22"/>
          <w:lang w:val="fr-FR"/>
        </w:rPr>
        <w:t>2010:</w:t>
      </w:r>
      <w:proofErr w:type="gramEnd"/>
      <w:r w:rsidRPr="006D6427">
        <w:rPr>
          <w:szCs w:val="22"/>
          <w:lang w:val="fr-FR"/>
        </w:rPr>
        <w:t>529, § 41). Il y a lieu de noter, toutefois, que le fait que toutes les conditions susvisées soient remplies peut ne pas suffire. En effet, l’opposition peut encore être rejetée si la demanderesse démontre un juste motif pour l’usage de la marque contestée.</w:t>
      </w:r>
    </w:p>
    <w:p w14:paraId="0A01A2FD" w14:textId="1CF1A156" w:rsidR="0088713E" w:rsidRPr="006D6427" w:rsidRDefault="0088713E" w:rsidP="0088713E">
      <w:pPr>
        <w:jc w:val="both"/>
        <w:rPr>
          <w:szCs w:val="22"/>
          <w:lang w:val="fr-FR"/>
        </w:rPr>
      </w:pPr>
      <w:r w:rsidRPr="006D6427">
        <w:rPr>
          <w:szCs w:val="22"/>
          <w:lang w:val="fr-FR"/>
        </w:rPr>
        <w:t> </w:t>
      </w:r>
    </w:p>
    <w:p w14:paraId="7BD6700A" w14:textId="7F9F253B" w:rsidR="0088713E" w:rsidRPr="006D6427" w:rsidRDefault="0088713E" w:rsidP="0088713E">
      <w:pPr>
        <w:jc w:val="both"/>
        <w:rPr>
          <w:szCs w:val="22"/>
          <w:lang w:val="fr-FR"/>
        </w:rPr>
      </w:pPr>
      <w:r w:rsidRPr="006D6427">
        <w:rPr>
          <w:szCs w:val="22"/>
          <w:lang w:val="fr-FR"/>
        </w:rPr>
        <w:t>En l’espèce, la</w:t>
      </w:r>
      <w:r w:rsidR="0022002B" w:rsidRPr="006D6427">
        <w:rPr>
          <w:szCs w:val="22"/>
          <w:lang w:val="fr-FR"/>
        </w:rPr>
        <w:t xml:space="preserve"> </w:t>
      </w:r>
      <w:r w:rsidRPr="006D6427">
        <w:rPr>
          <w:szCs w:val="22"/>
          <w:lang w:val="fr-FR"/>
        </w:rPr>
        <w:t>demanderesse</w:t>
      </w:r>
      <w:r w:rsidR="0022002B" w:rsidRPr="006D6427">
        <w:rPr>
          <w:szCs w:val="22"/>
          <w:lang w:val="fr-FR"/>
        </w:rPr>
        <w:t xml:space="preserve"> </w:t>
      </w:r>
      <w:r w:rsidRPr="006D6427">
        <w:rPr>
          <w:szCs w:val="22"/>
          <w:lang w:val="fr-FR"/>
        </w:rPr>
        <w:t>n’a pas invoqué un juste motif pour utiliser la marque contestée. Dès lors, en l’absence de toute indication contraire, il convient de supposer qu’il n’existe pas de juste motif. </w:t>
      </w:r>
    </w:p>
    <w:p w14:paraId="6C952F4F" w14:textId="7E62DA07" w:rsidR="0088713E" w:rsidRPr="006D6427" w:rsidRDefault="0088713E" w:rsidP="0088713E">
      <w:pPr>
        <w:jc w:val="both"/>
        <w:rPr>
          <w:szCs w:val="22"/>
          <w:lang w:val="fr-FR"/>
        </w:rPr>
      </w:pPr>
      <w:r w:rsidRPr="006D6427">
        <w:rPr>
          <w:szCs w:val="22"/>
          <w:lang w:val="fr-FR"/>
        </w:rPr>
        <w:t> </w:t>
      </w:r>
    </w:p>
    <w:p w14:paraId="3244D752" w14:textId="0CEFDC02" w:rsidR="0088713E" w:rsidRPr="006D6427" w:rsidRDefault="0022002B" w:rsidP="0022002B">
      <w:pPr>
        <w:jc w:val="both"/>
        <w:rPr>
          <w:b/>
          <w:bCs/>
          <w:szCs w:val="22"/>
          <w:lang w:val="fr-FR"/>
        </w:rPr>
      </w:pPr>
      <w:r w:rsidRPr="006D6427">
        <w:rPr>
          <w:b/>
          <w:bCs/>
          <w:szCs w:val="22"/>
          <w:lang w:val="fr-FR"/>
        </w:rPr>
        <w:t>a) La renommée</w:t>
      </w:r>
    </w:p>
    <w:p w14:paraId="3E96CC4D" w14:textId="77777777" w:rsidR="0022002B" w:rsidRPr="006D6427" w:rsidRDefault="0022002B" w:rsidP="0022002B">
      <w:pPr>
        <w:jc w:val="both"/>
        <w:rPr>
          <w:szCs w:val="22"/>
          <w:lang w:val="fr-FR"/>
        </w:rPr>
      </w:pPr>
    </w:p>
    <w:p w14:paraId="136E9364" w14:textId="6ED40072" w:rsidR="0022002B" w:rsidRPr="006D6427" w:rsidRDefault="0022002B" w:rsidP="0022002B">
      <w:pPr>
        <w:jc w:val="both"/>
        <w:rPr>
          <w:szCs w:val="22"/>
          <w:lang w:val="fr-FR"/>
        </w:rPr>
      </w:pPr>
      <w:r w:rsidRPr="006D6427">
        <w:rPr>
          <w:szCs w:val="22"/>
          <w:lang w:val="fr-FR"/>
        </w:rPr>
        <w:t xml:space="preserve">La renommée de la marque antérieure a déjà été établie supra sur la base des pièces fournies par l’opposante. Comme indiqué supra, il ressort de ces pièces que la marque antérieure a acquis une renommée en France et dans la partie francophone de la Belgique. </w:t>
      </w:r>
    </w:p>
    <w:p w14:paraId="235E598F" w14:textId="77777777" w:rsidR="0022002B" w:rsidRPr="006D6427" w:rsidRDefault="0022002B" w:rsidP="0022002B">
      <w:pPr>
        <w:jc w:val="both"/>
        <w:rPr>
          <w:szCs w:val="22"/>
          <w:lang w:val="fr-FR"/>
        </w:rPr>
      </w:pPr>
    </w:p>
    <w:p w14:paraId="5FEB2188" w14:textId="77777777" w:rsidR="0088713E" w:rsidRPr="006D6427" w:rsidRDefault="0088713E" w:rsidP="0088713E">
      <w:pPr>
        <w:jc w:val="both"/>
        <w:rPr>
          <w:szCs w:val="22"/>
          <w:lang w:val="fr-FR"/>
        </w:rPr>
      </w:pPr>
      <w:r w:rsidRPr="006D6427">
        <w:rPr>
          <w:b/>
          <w:szCs w:val="22"/>
          <w:lang w:val="fr-FR"/>
        </w:rPr>
        <w:t>b) Les signes</w:t>
      </w:r>
    </w:p>
    <w:p w14:paraId="5A7244D5" w14:textId="5E50BD19" w:rsidR="0088713E" w:rsidRPr="006D6427" w:rsidRDefault="0088713E" w:rsidP="0088713E">
      <w:pPr>
        <w:jc w:val="both"/>
        <w:rPr>
          <w:szCs w:val="22"/>
          <w:lang w:val="fr-FR"/>
        </w:rPr>
      </w:pPr>
      <w:r w:rsidRPr="006D6427">
        <w:rPr>
          <w:szCs w:val="22"/>
          <w:lang w:val="fr-FR"/>
        </w:rPr>
        <w:t> </w:t>
      </w:r>
    </w:p>
    <w:p w14:paraId="1769F94D" w14:textId="3DDE3D69" w:rsidR="003A356E" w:rsidRPr="006D6427" w:rsidRDefault="0088713E" w:rsidP="0088713E">
      <w:pPr>
        <w:jc w:val="both"/>
        <w:rPr>
          <w:szCs w:val="22"/>
          <w:lang w:val="fr-FR"/>
        </w:rPr>
      </w:pPr>
      <w:r w:rsidRPr="006D6427">
        <w:rPr>
          <w:szCs w:val="22"/>
          <w:lang w:val="fr-FR"/>
        </w:rPr>
        <w:t xml:space="preserve">Les signes ont déjà été comparés ci-dessus dans le cadre de l’examen des motifs prévus par l’article 8, paragraphe 1, point b), du RMUE. </w:t>
      </w:r>
      <w:r w:rsidR="00F85124" w:rsidRPr="006D6427">
        <w:rPr>
          <w:szCs w:val="22"/>
          <w:lang w:val="fr-FR"/>
        </w:rPr>
        <w:t>Ainsi, il</w:t>
      </w:r>
      <w:r w:rsidRPr="006D6427">
        <w:rPr>
          <w:szCs w:val="22"/>
          <w:lang w:val="fr-FR"/>
        </w:rPr>
        <w:t xml:space="preserve"> est fait référence aux constatations correspondantes </w:t>
      </w:r>
      <w:r w:rsidR="003A356E" w:rsidRPr="006D6427">
        <w:rPr>
          <w:szCs w:val="22"/>
          <w:lang w:val="fr-FR"/>
        </w:rPr>
        <w:t>dans la mesure où elles se rapportent notamment à la perception du public parlant français couvert par les désignations de la France et du Benelux. Dans cette mesure</w:t>
      </w:r>
      <w:r w:rsidR="00B142F2" w:rsidRPr="006D6427">
        <w:rPr>
          <w:szCs w:val="22"/>
          <w:lang w:val="fr-FR"/>
        </w:rPr>
        <w:t xml:space="preserve"> seulement</w:t>
      </w:r>
      <w:r w:rsidR="0022002B" w:rsidRPr="006D6427">
        <w:rPr>
          <w:szCs w:val="22"/>
          <w:lang w:val="fr-FR"/>
        </w:rPr>
        <w:t>,</w:t>
      </w:r>
      <w:r w:rsidR="003A356E" w:rsidRPr="006D6427">
        <w:rPr>
          <w:szCs w:val="22"/>
          <w:lang w:val="fr-FR"/>
        </w:rPr>
        <w:t xml:space="preserve"> et compte tenu du fait que la renommée de la marque antérieure a été établie en </w:t>
      </w:r>
      <w:r w:rsidR="0022002B" w:rsidRPr="006D6427">
        <w:rPr>
          <w:szCs w:val="22"/>
          <w:lang w:val="fr-FR"/>
        </w:rPr>
        <w:t xml:space="preserve">France et dans </w:t>
      </w:r>
      <w:r w:rsidR="003A356E" w:rsidRPr="006D6427">
        <w:rPr>
          <w:szCs w:val="22"/>
          <w:lang w:val="fr-FR"/>
        </w:rPr>
        <w:t>la partie francophone</w:t>
      </w:r>
      <w:r w:rsidR="003D7819" w:rsidRPr="006D6427">
        <w:rPr>
          <w:szCs w:val="22"/>
          <w:lang w:val="fr-FR"/>
        </w:rPr>
        <w:t xml:space="preserve"> de Belgique</w:t>
      </w:r>
      <w:r w:rsidR="003A356E" w:rsidRPr="006D6427">
        <w:rPr>
          <w:szCs w:val="22"/>
          <w:lang w:val="fr-FR"/>
        </w:rPr>
        <w:t xml:space="preserve">, lesdites constatations sont </w:t>
      </w:r>
      <w:r w:rsidRPr="006D6427">
        <w:rPr>
          <w:szCs w:val="22"/>
          <w:lang w:val="fr-FR"/>
        </w:rPr>
        <w:t>également valables aux fins de l’application de l’article 8, paragraphe 5, du RMUE</w:t>
      </w:r>
      <w:r w:rsidR="003A356E" w:rsidRPr="006D6427">
        <w:rPr>
          <w:szCs w:val="22"/>
          <w:lang w:val="fr-FR"/>
        </w:rPr>
        <w:t>.</w:t>
      </w:r>
    </w:p>
    <w:p w14:paraId="0885516A" w14:textId="1774B5B4" w:rsidR="0088713E" w:rsidRPr="006D6427" w:rsidRDefault="0088713E" w:rsidP="0088713E">
      <w:pPr>
        <w:jc w:val="both"/>
        <w:rPr>
          <w:szCs w:val="22"/>
          <w:lang w:val="fr-FR"/>
        </w:rPr>
      </w:pPr>
      <w:r w:rsidRPr="006D6427">
        <w:rPr>
          <w:szCs w:val="22"/>
          <w:lang w:val="fr-FR"/>
        </w:rPr>
        <w:t> </w:t>
      </w:r>
    </w:p>
    <w:p w14:paraId="7D90F604" w14:textId="19DCB9DD" w:rsidR="0088713E" w:rsidRPr="006D6427" w:rsidRDefault="0088713E" w:rsidP="0088713E">
      <w:pPr>
        <w:jc w:val="both"/>
        <w:rPr>
          <w:szCs w:val="22"/>
          <w:lang w:val="fr-FR"/>
        </w:rPr>
      </w:pPr>
      <w:r w:rsidRPr="006D6427">
        <w:rPr>
          <w:b/>
          <w:szCs w:val="22"/>
          <w:lang w:val="fr-FR"/>
        </w:rPr>
        <w:t>c) Le «</w:t>
      </w:r>
      <w:r w:rsidR="00F74FBE" w:rsidRPr="006D6427">
        <w:rPr>
          <w:b/>
          <w:szCs w:val="22"/>
          <w:lang w:val="fr-FR"/>
        </w:rPr>
        <w:t> </w:t>
      </w:r>
      <w:r w:rsidRPr="006D6427">
        <w:rPr>
          <w:b/>
          <w:szCs w:val="22"/>
          <w:lang w:val="fr-FR"/>
        </w:rPr>
        <w:t>lien</w:t>
      </w:r>
      <w:r w:rsidR="00F74FBE" w:rsidRPr="006D6427">
        <w:rPr>
          <w:b/>
          <w:szCs w:val="22"/>
          <w:lang w:val="fr-FR"/>
        </w:rPr>
        <w:t> </w:t>
      </w:r>
      <w:r w:rsidRPr="006D6427">
        <w:rPr>
          <w:b/>
          <w:szCs w:val="22"/>
          <w:lang w:val="fr-FR"/>
        </w:rPr>
        <w:t>» entre les signes</w:t>
      </w:r>
    </w:p>
    <w:p w14:paraId="3D3B0598" w14:textId="1135DE56" w:rsidR="0088713E" w:rsidRPr="006D6427" w:rsidRDefault="0088713E" w:rsidP="0088713E">
      <w:pPr>
        <w:jc w:val="both"/>
        <w:rPr>
          <w:szCs w:val="22"/>
          <w:lang w:val="fr-FR"/>
        </w:rPr>
      </w:pPr>
      <w:r w:rsidRPr="006D6427">
        <w:rPr>
          <w:szCs w:val="22"/>
          <w:lang w:val="fr-FR"/>
        </w:rPr>
        <w:t> </w:t>
      </w:r>
    </w:p>
    <w:p w14:paraId="1C5261BA" w14:textId="741482DD" w:rsidR="0088713E" w:rsidRPr="006D6427" w:rsidRDefault="0088713E" w:rsidP="0088713E">
      <w:pPr>
        <w:jc w:val="both"/>
        <w:rPr>
          <w:szCs w:val="22"/>
          <w:lang w:val="fr-FR"/>
        </w:rPr>
      </w:pPr>
      <w:r w:rsidRPr="006D6427">
        <w:rPr>
          <w:szCs w:val="22"/>
          <w:lang w:val="fr-FR"/>
        </w:rPr>
        <w:t xml:space="preserve">Comme indiqué ci-dessus, la marque antérieure jouit d'une renommée </w:t>
      </w:r>
      <w:r w:rsidR="003D7819" w:rsidRPr="006D6427">
        <w:rPr>
          <w:szCs w:val="22"/>
          <w:lang w:val="fr-FR"/>
        </w:rPr>
        <w:t xml:space="preserve">auprès du public français et la partie francophone de Belgique </w:t>
      </w:r>
      <w:r w:rsidRPr="006D6427">
        <w:rPr>
          <w:szCs w:val="22"/>
          <w:lang w:val="fr-FR"/>
        </w:rPr>
        <w:t>et les signes présentent un certain degré de similitude. Afin d'établir l’existence d’un risque de préjudice, il est nécessaire de démontrer que, compte tenu de tous les facteurs pertinents, le public concerné établira un lien (ou une association) entre les signes. La nécessité d'un tel «</w:t>
      </w:r>
      <w:r w:rsidR="003D7819" w:rsidRPr="006D6427">
        <w:rPr>
          <w:szCs w:val="22"/>
          <w:lang w:val="fr-FR"/>
        </w:rPr>
        <w:t> </w:t>
      </w:r>
      <w:r w:rsidRPr="006D6427">
        <w:rPr>
          <w:szCs w:val="22"/>
          <w:lang w:val="fr-FR"/>
        </w:rPr>
        <w:t>lien</w:t>
      </w:r>
      <w:r w:rsidR="003D7819" w:rsidRPr="006D6427">
        <w:rPr>
          <w:szCs w:val="22"/>
          <w:lang w:val="fr-FR"/>
        </w:rPr>
        <w:t> </w:t>
      </w:r>
      <w:r w:rsidRPr="006D6427">
        <w:rPr>
          <w:szCs w:val="22"/>
          <w:lang w:val="fr-FR"/>
        </w:rPr>
        <w:t>» entre les marques en conflit dans l'esprit des consommateurs n'est pas explicitement prévue par l'article 8(5) RMUE mais elle a été confirmée par plusieurs arrêts (23/10/2003, C</w:t>
      </w:r>
      <w:r w:rsidRPr="006D6427">
        <w:rPr>
          <w:rFonts w:ascii="Cambria Math" w:hAnsi="Cambria Math" w:cs="Cambria Math"/>
          <w:szCs w:val="22"/>
          <w:lang w:val="fr-FR"/>
        </w:rPr>
        <w:t>‑</w:t>
      </w:r>
      <w:r w:rsidRPr="006D6427">
        <w:rPr>
          <w:szCs w:val="22"/>
          <w:lang w:val="fr-FR"/>
        </w:rPr>
        <w:t xml:space="preserve">408/01, Adidas, </w:t>
      </w:r>
      <w:proofErr w:type="gramStart"/>
      <w:r w:rsidRPr="006D6427">
        <w:rPr>
          <w:szCs w:val="22"/>
          <w:lang w:val="fr-FR"/>
        </w:rPr>
        <w:t>EU:C:2003:</w:t>
      </w:r>
      <w:proofErr w:type="gramEnd"/>
      <w:r w:rsidRPr="006D6427">
        <w:rPr>
          <w:szCs w:val="22"/>
          <w:lang w:val="fr-FR"/>
        </w:rPr>
        <w:t xml:space="preserve">582, § 29, </w:t>
      </w:r>
      <w:proofErr w:type="gramStart"/>
      <w:r w:rsidRPr="006D6427">
        <w:rPr>
          <w:szCs w:val="22"/>
          <w:lang w:val="fr-FR"/>
        </w:rPr>
        <w:t>31;</w:t>
      </w:r>
      <w:proofErr w:type="gramEnd"/>
      <w:r w:rsidRPr="006D6427">
        <w:rPr>
          <w:szCs w:val="22"/>
          <w:lang w:val="fr-FR"/>
        </w:rPr>
        <w:t xml:space="preserve"> 27/11/2008, C</w:t>
      </w:r>
      <w:r w:rsidRPr="006D6427">
        <w:rPr>
          <w:rFonts w:ascii="Cambria Math" w:hAnsi="Cambria Math" w:cs="Cambria Math"/>
          <w:szCs w:val="22"/>
          <w:lang w:val="fr-FR"/>
        </w:rPr>
        <w:t>‑</w:t>
      </w:r>
      <w:r w:rsidRPr="006D6427">
        <w:rPr>
          <w:szCs w:val="22"/>
          <w:lang w:val="fr-FR"/>
        </w:rPr>
        <w:t xml:space="preserve">252/07, Intel, </w:t>
      </w:r>
      <w:proofErr w:type="gramStart"/>
      <w:r w:rsidRPr="006D6427">
        <w:rPr>
          <w:szCs w:val="22"/>
          <w:lang w:val="fr-FR"/>
        </w:rPr>
        <w:t>EU:C:2008:</w:t>
      </w:r>
      <w:proofErr w:type="gramEnd"/>
      <w:r w:rsidRPr="006D6427">
        <w:rPr>
          <w:szCs w:val="22"/>
          <w:lang w:val="fr-FR"/>
        </w:rPr>
        <w:t>655, § 66). Il ne s’agit pas d’une exigence supplémentaire</w:t>
      </w:r>
      <w:r w:rsidR="003D7819" w:rsidRPr="006D6427">
        <w:rPr>
          <w:szCs w:val="22"/>
          <w:lang w:val="fr-FR"/>
        </w:rPr>
        <w:t> </w:t>
      </w:r>
      <w:r w:rsidRPr="006D6427">
        <w:rPr>
          <w:szCs w:val="22"/>
          <w:lang w:val="fr-FR"/>
        </w:rPr>
        <w:t>: ceci reflète simplement la nécessité de déterminer si l'association que le public pourrait établir entre les signes est telle qu'il est vraisemblable que l'usage de la marque demandée tire indûment profit du caractère distinctif ou de la renommée de la marque antérieure ou qu'il lui porte préjudice, après avoir apprécié tous les facteurs pertinents dans le cas d'espèce.</w:t>
      </w:r>
    </w:p>
    <w:p w14:paraId="1F7BD751" w14:textId="159C94DC" w:rsidR="0088713E" w:rsidRPr="006D6427" w:rsidRDefault="0088713E" w:rsidP="0088713E">
      <w:pPr>
        <w:jc w:val="both"/>
        <w:rPr>
          <w:szCs w:val="22"/>
          <w:lang w:val="fr-FR"/>
        </w:rPr>
      </w:pPr>
      <w:r w:rsidRPr="006D6427">
        <w:rPr>
          <w:szCs w:val="22"/>
          <w:lang w:val="fr-FR"/>
        </w:rPr>
        <w:t> </w:t>
      </w:r>
    </w:p>
    <w:p w14:paraId="6D00017C" w14:textId="0182AF4B" w:rsidR="0088713E" w:rsidRPr="006D6427" w:rsidRDefault="0088713E" w:rsidP="0088713E">
      <w:pPr>
        <w:jc w:val="both"/>
        <w:rPr>
          <w:szCs w:val="22"/>
          <w:lang w:val="fr-FR"/>
        </w:rPr>
      </w:pPr>
      <w:r w:rsidRPr="006D6427">
        <w:rPr>
          <w:szCs w:val="22"/>
          <w:lang w:val="fr-FR"/>
        </w:rPr>
        <w:t>Parmi les critères pertinents aux fins d'apprécier s'il existe un «</w:t>
      </w:r>
      <w:r w:rsidR="003D7819" w:rsidRPr="006D6427">
        <w:rPr>
          <w:szCs w:val="22"/>
          <w:lang w:val="fr-FR"/>
        </w:rPr>
        <w:t> </w:t>
      </w:r>
      <w:r w:rsidRPr="006D6427">
        <w:rPr>
          <w:szCs w:val="22"/>
          <w:lang w:val="fr-FR"/>
        </w:rPr>
        <w:t>lien</w:t>
      </w:r>
      <w:r w:rsidR="003D7819" w:rsidRPr="006D6427">
        <w:rPr>
          <w:szCs w:val="22"/>
          <w:lang w:val="fr-FR"/>
        </w:rPr>
        <w:t> </w:t>
      </w:r>
      <w:r w:rsidRPr="006D6427">
        <w:rPr>
          <w:szCs w:val="22"/>
          <w:lang w:val="fr-FR"/>
        </w:rPr>
        <w:t>», peuvent être cités (27/11/2008, C</w:t>
      </w:r>
      <w:r w:rsidRPr="006D6427">
        <w:rPr>
          <w:rFonts w:ascii="Cambria Math" w:hAnsi="Cambria Math" w:cs="Cambria Math"/>
          <w:szCs w:val="22"/>
          <w:lang w:val="fr-FR"/>
        </w:rPr>
        <w:t>‑</w:t>
      </w:r>
      <w:r w:rsidRPr="006D6427">
        <w:rPr>
          <w:szCs w:val="22"/>
          <w:lang w:val="fr-FR"/>
        </w:rPr>
        <w:t xml:space="preserve">252/07, Intel, </w:t>
      </w:r>
      <w:proofErr w:type="gramStart"/>
      <w:r w:rsidRPr="006D6427">
        <w:rPr>
          <w:szCs w:val="22"/>
          <w:lang w:val="fr-FR"/>
        </w:rPr>
        <w:t>EU:C:2008:</w:t>
      </w:r>
      <w:proofErr w:type="gramEnd"/>
      <w:r w:rsidRPr="006D6427">
        <w:rPr>
          <w:szCs w:val="22"/>
          <w:lang w:val="fr-FR"/>
        </w:rPr>
        <w:t>655, § 42)</w:t>
      </w:r>
      <w:r w:rsidR="00B90569" w:rsidRPr="006D6427">
        <w:rPr>
          <w:szCs w:val="22"/>
          <w:lang w:val="fr-FR"/>
        </w:rPr>
        <w:t> </w:t>
      </w:r>
      <w:r w:rsidRPr="006D6427">
        <w:rPr>
          <w:szCs w:val="22"/>
          <w:lang w:val="fr-FR"/>
        </w:rPr>
        <w:t>:</w:t>
      </w:r>
    </w:p>
    <w:p w14:paraId="3445E1B1" w14:textId="3C7CDF8D" w:rsidR="0088713E" w:rsidRPr="006D6427" w:rsidRDefault="0088713E" w:rsidP="0088713E">
      <w:pPr>
        <w:jc w:val="both"/>
        <w:rPr>
          <w:szCs w:val="22"/>
          <w:lang w:val="fr-FR"/>
        </w:rPr>
      </w:pPr>
      <w:r w:rsidRPr="006D6427">
        <w:rPr>
          <w:szCs w:val="22"/>
          <w:lang w:val="fr-FR"/>
        </w:rPr>
        <w:t> </w:t>
      </w:r>
    </w:p>
    <w:p w14:paraId="77F00FA6" w14:textId="2998FC8A" w:rsidR="0088713E" w:rsidRPr="006D6427" w:rsidRDefault="006D6427" w:rsidP="006D6427">
      <w:pPr>
        <w:ind w:left="960" w:hanging="360"/>
        <w:jc w:val="both"/>
        <w:rPr>
          <w:szCs w:val="22"/>
          <w:lang w:val="fr-FR"/>
        </w:rPr>
      </w:pPr>
      <w:r w:rsidRPr="006D6427">
        <w:rPr>
          <w:rFonts w:ascii="Symbol" w:hAnsi="Symbol"/>
          <w:szCs w:val="22"/>
          <w:lang w:val="fr-FR"/>
        </w:rPr>
        <w:t></w:t>
      </w:r>
      <w:r w:rsidRPr="006D6427">
        <w:rPr>
          <w:rFonts w:ascii="Symbol" w:hAnsi="Symbol"/>
          <w:szCs w:val="22"/>
          <w:lang w:val="fr-FR"/>
        </w:rPr>
        <w:tab/>
      </w:r>
      <w:r w:rsidR="0088713E" w:rsidRPr="006D6427">
        <w:rPr>
          <w:szCs w:val="22"/>
          <w:lang w:val="fr-FR"/>
        </w:rPr>
        <w:t>le degré de similitude entre les signes</w:t>
      </w:r>
      <w:r w:rsidR="00B90569" w:rsidRPr="006D6427">
        <w:rPr>
          <w:szCs w:val="22"/>
          <w:lang w:val="fr-FR"/>
        </w:rPr>
        <w:t> </w:t>
      </w:r>
      <w:r w:rsidR="0088713E" w:rsidRPr="006D6427">
        <w:rPr>
          <w:szCs w:val="22"/>
          <w:lang w:val="fr-FR"/>
        </w:rPr>
        <w:t>;</w:t>
      </w:r>
    </w:p>
    <w:p w14:paraId="4F955707" w14:textId="6594C3A8" w:rsidR="0088713E" w:rsidRPr="006D6427" w:rsidRDefault="0088713E" w:rsidP="0088713E">
      <w:pPr>
        <w:ind w:left="960"/>
        <w:jc w:val="both"/>
        <w:rPr>
          <w:szCs w:val="22"/>
          <w:lang w:val="fr-FR"/>
        </w:rPr>
      </w:pPr>
      <w:r w:rsidRPr="006D6427">
        <w:rPr>
          <w:szCs w:val="22"/>
          <w:lang w:val="fr-FR"/>
        </w:rPr>
        <w:t> </w:t>
      </w:r>
    </w:p>
    <w:p w14:paraId="2F388DF9" w14:textId="1786CDFC" w:rsidR="0088713E" w:rsidRPr="006D6427" w:rsidRDefault="006D6427" w:rsidP="006D6427">
      <w:pPr>
        <w:ind w:left="960" w:hanging="360"/>
        <w:jc w:val="both"/>
        <w:rPr>
          <w:szCs w:val="22"/>
          <w:lang w:val="fr-FR"/>
        </w:rPr>
      </w:pPr>
      <w:r w:rsidRPr="006D6427">
        <w:rPr>
          <w:rFonts w:ascii="Symbol" w:hAnsi="Symbol"/>
          <w:szCs w:val="22"/>
          <w:lang w:val="fr-FR"/>
        </w:rPr>
        <w:t></w:t>
      </w:r>
      <w:r w:rsidRPr="006D6427">
        <w:rPr>
          <w:rFonts w:ascii="Symbol" w:hAnsi="Symbol"/>
          <w:szCs w:val="22"/>
          <w:lang w:val="fr-FR"/>
        </w:rPr>
        <w:tab/>
      </w:r>
      <w:r w:rsidR="0088713E" w:rsidRPr="006D6427">
        <w:rPr>
          <w:szCs w:val="22"/>
          <w:lang w:val="fr-FR"/>
        </w:rPr>
        <w:t>la nature des produits et des services, y compris le degré de similitude ou de dissemblance de ces produits ou services ainsi que le public concerné</w:t>
      </w:r>
      <w:r w:rsidR="00B90569" w:rsidRPr="006D6427">
        <w:rPr>
          <w:szCs w:val="22"/>
          <w:lang w:val="fr-FR"/>
        </w:rPr>
        <w:t> </w:t>
      </w:r>
      <w:r w:rsidR="0088713E" w:rsidRPr="006D6427">
        <w:rPr>
          <w:szCs w:val="22"/>
          <w:lang w:val="fr-FR"/>
        </w:rPr>
        <w:t>;</w:t>
      </w:r>
    </w:p>
    <w:p w14:paraId="27AB488C" w14:textId="4B0B6E57" w:rsidR="0088713E" w:rsidRPr="006D6427" w:rsidRDefault="0088713E" w:rsidP="0088713E">
      <w:pPr>
        <w:ind w:left="960"/>
        <w:jc w:val="both"/>
        <w:rPr>
          <w:szCs w:val="22"/>
          <w:lang w:val="fr-FR"/>
        </w:rPr>
      </w:pPr>
      <w:r w:rsidRPr="006D6427">
        <w:rPr>
          <w:szCs w:val="22"/>
          <w:lang w:val="fr-FR"/>
        </w:rPr>
        <w:lastRenderedPageBreak/>
        <w:t> </w:t>
      </w:r>
    </w:p>
    <w:p w14:paraId="710AFA73" w14:textId="11557C1B" w:rsidR="0088713E" w:rsidRPr="006D6427" w:rsidRDefault="006D6427" w:rsidP="006D6427">
      <w:pPr>
        <w:ind w:left="960" w:hanging="360"/>
        <w:jc w:val="both"/>
        <w:rPr>
          <w:szCs w:val="22"/>
          <w:lang w:val="fr-FR"/>
        </w:rPr>
      </w:pPr>
      <w:r w:rsidRPr="006D6427">
        <w:rPr>
          <w:rFonts w:ascii="Symbol" w:hAnsi="Symbol"/>
          <w:szCs w:val="22"/>
          <w:lang w:val="fr-FR"/>
        </w:rPr>
        <w:t></w:t>
      </w:r>
      <w:r w:rsidRPr="006D6427">
        <w:rPr>
          <w:rFonts w:ascii="Symbol" w:hAnsi="Symbol"/>
          <w:szCs w:val="22"/>
          <w:lang w:val="fr-FR"/>
        </w:rPr>
        <w:tab/>
      </w:r>
      <w:r w:rsidR="0088713E" w:rsidRPr="006D6427">
        <w:rPr>
          <w:szCs w:val="22"/>
          <w:lang w:val="fr-FR"/>
        </w:rPr>
        <w:t>l’intensité de la renommée de la marque antérieure</w:t>
      </w:r>
      <w:r w:rsidR="00B90569" w:rsidRPr="006D6427">
        <w:rPr>
          <w:szCs w:val="22"/>
          <w:lang w:val="fr-FR"/>
        </w:rPr>
        <w:t> </w:t>
      </w:r>
      <w:r w:rsidR="0088713E" w:rsidRPr="006D6427">
        <w:rPr>
          <w:szCs w:val="22"/>
          <w:lang w:val="fr-FR"/>
        </w:rPr>
        <w:t>;</w:t>
      </w:r>
    </w:p>
    <w:p w14:paraId="4D36F494" w14:textId="4361EF40" w:rsidR="0088713E" w:rsidRPr="006D6427" w:rsidRDefault="0088713E" w:rsidP="0088713E">
      <w:pPr>
        <w:ind w:left="960"/>
        <w:jc w:val="both"/>
        <w:rPr>
          <w:szCs w:val="22"/>
          <w:lang w:val="fr-FR"/>
        </w:rPr>
      </w:pPr>
      <w:r w:rsidRPr="006D6427">
        <w:rPr>
          <w:szCs w:val="22"/>
          <w:lang w:val="fr-FR"/>
        </w:rPr>
        <w:t> </w:t>
      </w:r>
    </w:p>
    <w:p w14:paraId="5051B3B2" w14:textId="283B987B" w:rsidR="0088713E" w:rsidRPr="006D6427" w:rsidRDefault="006D6427" w:rsidP="006D6427">
      <w:pPr>
        <w:ind w:left="960" w:hanging="360"/>
        <w:jc w:val="both"/>
        <w:rPr>
          <w:szCs w:val="22"/>
          <w:lang w:val="fr-FR"/>
        </w:rPr>
      </w:pPr>
      <w:r w:rsidRPr="006D6427">
        <w:rPr>
          <w:rFonts w:ascii="Symbol" w:hAnsi="Symbol"/>
          <w:szCs w:val="22"/>
          <w:lang w:val="fr-FR"/>
        </w:rPr>
        <w:t></w:t>
      </w:r>
      <w:r w:rsidRPr="006D6427">
        <w:rPr>
          <w:rFonts w:ascii="Symbol" w:hAnsi="Symbol"/>
          <w:szCs w:val="22"/>
          <w:lang w:val="fr-FR"/>
        </w:rPr>
        <w:tab/>
      </w:r>
      <w:r w:rsidR="0088713E" w:rsidRPr="006D6427">
        <w:rPr>
          <w:szCs w:val="22"/>
          <w:lang w:val="fr-FR"/>
        </w:rPr>
        <w:t>le degré de caractère distinctif, intrinsèque ou acquis par l’usage, de la marque antérieure</w:t>
      </w:r>
      <w:r w:rsidR="00B90569" w:rsidRPr="006D6427">
        <w:rPr>
          <w:szCs w:val="22"/>
          <w:lang w:val="fr-FR"/>
        </w:rPr>
        <w:t> </w:t>
      </w:r>
      <w:r w:rsidR="0088713E" w:rsidRPr="006D6427">
        <w:rPr>
          <w:szCs w:val="22"/>
          <w:lang w:val="fr-FR"/>
        </w:rPr>
        <w:t>;</w:t>
      </w:r>
    </w:p>
    <w:p w14:paraId="69679D03" w14:textId="3FEC5437" w:rsidR="0088713E" w:rsidRPr="006D6427" w:rsidRDefault="0088713E" w:rsidP="0088713E">
      <w:pPr>
        <w:ind w:left="960"/>
        <w:jc w:val="both"/>
        <w:rPr>
          <w:szCs w:val="22"/>
          <w:lang w:val="fr-FR"/>
        </w:rPr>
      </w:pPr>
      <w:r w:rsidRPr="006D6427">
        <w:rPr>
          <w:szCs w:val="22"/>
          <w:lang w:val="fr-FR"/>
        </w:rPr>
        <w:t> </w:t>
      </w:r>
    </w:p>
    <w:p w14:paraId="46FF64C4" w14:textId="10A515A2" w:rsidR="0088713E" w:rsidRPr="006D6427" w:rsidRDefault="006D6427" w:rsidP="006D6427">
      <w:pPr>
        <w:ind w:left="960" w:hanging="360"/>
        <w:jc w:val="both"/>
        <w:rPr>
          <w:szCs w:val="22"/>
          <w:lang w:val="fr-FR"/>
        </w:rPr>
      </w:pPr>
      <w:r w:rsidRPr="006D6427">
        <w:rPr>
          <w:rFonts w:ascii="Symbol" w:hAnsi="Symbol"/>
          <w:szCs w:val="22"/>
          <w:lang w:val="fr-FR"/>
        </w:rPr>
        <w:t></w:t>
      </w:r>
      <w:r w:rsidRPr="006D6427">
        <w:rPr>
          <w:rFonts w:ascii="Symbol" w:hAnsi="Symbol"/>
          <w:szCs w:val="22"/>
          <w:lang w:val="fr-FR"/>
        </w:rPr>
        <w:tab/>
      </w:r>
      <w:r w:rsidR="0088713E" w:rsidRPr="006D6427">
        <w:rPr>
          <w:szCs w:val="22"/>
          <w:lang w:val="fr-FR"/>
        </w:rPr>
        <w:t>l’existence d’un risque de confusion dans l’esprit du public.</w:t>
      </w:r>
    </w:p>
    <w:p w14:paraId="4EC98387" w14:textId="6A8990AF" w:rsidR="0088713E" w:rsidRPr="006D6427" w:rsidRDefault="0088713E" w:rsidP="0088713E">
      <w:pPr>
        <w:jc w:val="both"/>
        <w:rPr>
          <w:szCs w:val="22"/>
          <w:lang w:val="fr-FR"/>
        </w:rPr>
      </w:pPr>
      <w:r w:rsidRPr="006D6427">
        <w:rPr>
          <w:szCs w:val="22"/>
          <w:lang w:val="fr-FR"/>
        </w:rPr>
        <w:t> </w:t>
      </w:r>
    </w:p>
    <w:p w14:paraId="23C7A118" w14:textId="70022881" w:rsidR="0088713E" w:rsidRPr="006D6427" w:rsidRDefault="0088713E" w:rsidP="0088713E">
      <w:pPr>
        <w:jc w:val="both"/>
        <w:rPr>
          <w:szCs w:val="22"/>
          <w:lang w:val="fr-FR"/>
        </w:rPr>
      </w:pPr>
      <w:r w:rsidRPr="006D6427">
        <w:rPr>
          <w:szCs w:val="22"/>
          <w:lang w:val="fr-FR"/>
        </w:rPr>
        <w:t>Cette liste n'est pas exhaustive et d'autres critères peuvent être pertinents en fonction des circonstances de l'espèce. De plus, l'existence d'un «</w:t>
      </w:r>
      <w:r w:rsidR="00B90569" w:rsidRPr="006D6427">
        <w:rPr>
          <w:szCs w:val="22"/>
          <w:lang w:val="fr-FR"/>
        </w:rPr>
        <w:t> </w:t>
      </w:r>
      <w:r w:rsidRPr="006D6427">
        <w:rPr>
          <w:szCs w:val="22"/>
          <w:lang w:val="fr-FR"/>
        </w:rPr>
        <w:t>lien</w:t>
      </w:r>
      <w:r w:rsidR="00B90569" w:rsidRPr="006D6427">
        <w:rPr>
          <w:szCs w:val="22"/>
          <w:lang w:val="fr-FR"/>
        </w:rPr>
        <w:t> </w:t>
      </w:r>
      <w:r w:rsidRPr="006D6427">
        <w:rPr>
          <w:szCs w:val="22"/>
          <w:lang w:val="fr-FR"/>
        </w:rPr>
        <w:t>» peut être établie sur la base de certains de ces critères seulement.</w:t>
      </w:r>
    </w:p>
    <w:p w14:paraId="75432FE5" w14:textId="77777777" w:rsidR="003D7819" w:rsidRPr="006D6427" w:rsidRDefault="003D7819" w:rsidP="0088713E">
      <w:pPr>
        <w:jc w:val="both"/>
        <w:rPr>
          <w:szCs w:val="22"/>
          <w:lang w:val="fr-FR"/>
        </w:rPr>
      </w:pPr>
    </w:p>
    <w:p w14:paraId="3E100513" w14:textId="1586E0E6" w:rsidR="003D7819" w:rsidRPr="006D6427" w:rsidRDefault="003D7819" w:rsidP="0088713E">
      <w:pPr>
        <w:jc w:val="both"/>
        <w:rPr>
          <w:szCs w:val="22"/>
          <w:lang w:val="fr-FR"/>
        </w:rPr>
      </w:pPr>
      <w:r w:rsidRPr="006D6427">
        <w:rPr>
          <w:szCs w:val="22"/>
          <w:lang w:val="fr-FR"/>
        </w:rPr>
        <w:t xml:space="preserve">En l’espèce, il a déjà été établi supra que les produits sont identiques. La marque antérieure n’ayant aucune signification en français, elle est intrinsèquement distinctive à un degré normal et, de plus, elle jouit d’une renommée. </w:t>
      </w:r>
      <w:r w:rsidR="00B90569" w:rsidRPr="006D6427">
        <w:rPr>
          <w:szCs w:val="22"/>
          <w:lang w:val="fr-FR"/>
        </w:rPr>
        <w:t xml:space="preserve">La division d’opposition a également estimé supra qu’il n’existe aucun risque de confusion entre les signes en cause en raison des faibles similitudes visuelles et phonétiques entre les signes en cause. Pour ces mêmes raisons, la division d’opposition estime que le public français et le public francophone de Belgique n’établira pas de lien entre les signes en cause. En effet, bien que le nombre de lettres différentes soit inférieur au nombre de lettres communes, il demeure </w:t>
      </w:r>
      <w:r w:rsidR="00427C93" w:rsidRPr="006D6427">
        <w:rPr>
          <w:szCs w:val="22"/>
          <w:lang w:val="fr-FR"/>
        </w:rPr>
        <w:t xml:space="preserve">que </w:t>
      </w:r>
      <w:r w:rsidR="000379C1" w:rsidRPr="006D6427">
        <w:rPr>
          <w:szCs w:val="22"/>
          <w:lang w:val="fr-FR"/>
        </w:rPr>
        <w:t xml:space="preserve">ces </w:t>
      </w:r>
      <w:r w:rsidR="00427C93" w:rsidRPr="006D6427">
        <w:rPr>
          <w:szCs w:val="22"/>
          <w:lang w:val="fr-FR"/>
        </w:rPr>
        <w:t xml:space="preserve">lettres différentes </w:t>
      </w:r>
      <w:r w:rsidR="00B90569" w:rsidRPr="006D6427">
        <w:rPr>
          <w:szCs w:val="22"/>
          <w:lang w:val="fr-FR"/>
        </w:rPr>
        <w:t xml:space="preserve">modifient substantiellement la perception visuelle et phonétique </w:t>
      </w:r>
      <w:r w:rsidR="00427C93" w:rsidRPr="006D6427">
        <w:rPr>
          <w:szCs w:val="22"/>
          <w:lang w:val="fr-FR"/>
        </w:rPr>
        <w:t>qu’</w:t>
      </w:r>
      <w:r w:rsidR="00B90569" w:rsidRPr="006D6427">
        <w:rPr>
          <w:szCs w:val="22"/>
          <w:lang w:val="fr-FR"/>
        </w:rPr>
        <w:t>aura ledit public</w:t>
      </w:r>
      <w:r w:rsidR="00427C93" w:rsidRPr="006D6427">
        <w:rPr>
          <w:szCs w:val="22"/>
          <w:lang w:val="fr-FR"/>
        </w:rPr>
        <w:t xml:space="preserve"> des signes en cause. </w:t>
      </w:r>
      <w:r w:rsidR="000379C1" w:rsidRPr="006D6427">
        <w:rPr>
          <w:szCs w:val="22"/>
          <w:lang w:val="fr-FR"/>
        </w:rPr>
        <w:t>C</w:t>
      </w:r>
      <w:r w:rsidR="00427C93" w:rsidRPr="006D6427">
        <w:rPr>
          <w:szCs w:val="22"/>
          <w:lang w:val="fr-FR"/>
        </w:rPr>
        <w:t xml:space="preserve">omme expliqué supra, ces lettres différentes interviennent dans des positions clé </w:t>
      </w:r>
      <w:r w:rsidR="00866B20" w:rsidRPr="006D6427">
        <w:rPr>
          <w:szCs w:val="22"/>
          <w:lang w:val="fr-FR"/>
        </w:rPr>
        <w:t xml:space="preserve">causant ainsi </w:t>
      </w:r>
      <w:r w:rsidR="00427C93" w:rsidRPr="006D6427">
        <w:rPr>
          <w:szCs w:val="22"/>
          <w:lang w:val="fr-FR"/>
        </w:rPr>
        <w:t xml:space="preserve">notamment une répartition différente des sons sur les trois syllabes que </w:t>
      </w:r>
      <w:r w:rsidR="000379C1" w:rsidRPr="006D6427">
        <w:rPr>
          <w:szCs w:val="22"/>
          <w:lang w:val="fr-FR"/>
        </w:rPr>
        <w:t xml:space="preserve">comportent </w:t>
      </w:r>
      <w:r w:rsidR="00427C93" w:rsidRPr="006D6427">
        <w:rPr>
          <w:szCs w:val="22"/>
          <w:lang w:val="fr-FR"/>
        </w:rPr>
        <w:t>les signes. De plus</w:t>
      </w:r>
      <w:r w:rsidR="000379C1" w:rsidRPr="006D6427">
        <w:rPr>
          <w:szCs w:val="22"/>
          <w:lang w:val="fr-FR"/>
        </w:rPr>
        <w:t xml:space="preserve">, ces lettres différentes, notamment la lettre « V » dans la marque antérieure et la lettre « Z » dans le signe contesté, </w:t>
      </w:r>
      <w:r w:rsidR="00866B20" w:rsidRPr="006D6427">
        <w:rPr>
          <w:szCs w:val="22"/>
          <w:lang w:val="fr-FR"/>
        </w:rPr>
        <w:t>qui se situent par ailleurs près du début des signes (en troisième position), ne sont pas similaires sur les plans visuel et phonétique. En outre</w:t>
      </w:r>
      <w:r w:rsidR="000379C1" w:rsidRPr="006D6427">
        <w:rPr>
          <w:szCs w:val="22"/>
          <w:lang w:val="fr-FR"/>
        </w:rPr>
        <w:t xml:space="preserve">, </w:t>
      </w:r>
      <w:r w:rsidR="00B142F2" w:rsidRPr="006D6427">
        <w:rPr>
          <w:szCs w:val="22"/>
          <w:lang w:val="fr-FR"/>
        </w:rPr>
        <w:t xml:space="preserve">dans la marque antérieure, </w:t>
      </w:r>
      <w:r w:rsidR="00866B20" w:rsidRPr="006D6427">
        <w:rPr>
          <w:szCs w:val="22"/>
          <w:lang w:val="fr-FR"/>
        </w:rPr>
        <w:t>la consonne sifflante « </w:t>
      </w:r>
      <w:r w:rsidR="000379C1" w:rsidRPr="006D6427">
        <w:rPr>
          <w:szCs w:val="22"/>
          <w:lang w:val="fr-FR"/>
        </w:rPr>
        <w:t>S</w:t>
      </w:r>
      <w:r w:rsidR="00866B20" w:rsidRPr="006D6427">
        <w:rPr>
          <w:szCs w:val="22"/>
          <w:lang w:val="fr-FR"/>
        </w:rPr>
        <w:t> »</w:t>
      </w:r>
      <w:r w:rsidR="00B142F2" w:rsidRPr="006D6427">
        <w:rPr>
          <w:szCs w:val="22"/>
          <w:lang w:val="fr-FR"/>
        </w:rPr>
        <w:t xml:space="preserve"> interrompt visuellement et phonétiquement la suite des </w:t>
      </w:r>
      <w:r w:rsidR="00866B20" w:rsidRPr="006D6427">
        <w:rPr>
          <w:szCs w:val="22"/>
          <w:lang w:val="fr-FR"/>
        </w:rPr>
        <w:t xml:space="preserve">lettres finales </w:t>
      </w:r>
      <w:r w:rsidR="00B142F2" w:rsidRPr="006D6427">
        <w:rPr>
          <w:szCs w:val="22"/>
          <w:lang w:val="fr-FR"/>
        </w:rPr>
        <w:t xml:space="preserve">communes </w:t>
      </w:r>
      <w:r w:rsidR="00866B20" w:rsidRPr="006D6427">
        <w:rPr>
          <w:szCs w:val="22"/>
          <w:lang w:val="fr-FR"/>
        </w:rPr>
        <w:t>« E-R-O », modifiant ainsi, également le rang occupé par ces lettres</w:t>
      </w:r>
      <w:r w:rsidR="00B90569" w:rsidRPr="006D6427">
        <w:rPr>
          <w:szCs w:val="22"/>
          <w:lang w:val="fr-FR"/>
        </w:rPr>
        <w:t xml:space="preserve">. Ainsi, la division d’opposition juge tout à fait improbable que ledit public établisse un lien entre les signes en cause, et ce, même en présence de produits identiques et malgré la renommée de la marque antérieure. </w:t>
      </w:r>
    </w:p>
    <w:p w14:paraId="3C7BE166" w14:textId="1503CD27" w:rsidR="0088713E" w:rsidRPr="006D6427" w:rsidRDefault="0088713E" w:rsidP="0088713E">
      <w:pPr>
        <w:jc w:val="both"/>
        <w:rPr>
          <w:szCs w:val="22"/>
          <w:lang w:val="fr-FR"/>
        </w:rPr>
      </w:pPr>
      <w:r w:rsidRPr="006D6427">
        <w:rPr>
          <w:szCs w:val="22"/>
          <w:lang w:val="fr-FR"/>
        </w:rPr>
        <w:t> </w:t>
      </w:r>
    </w:p>
    <w:p w14:paraId="6B49AF9C" w14:textId="61A77AA4" w:rsidR="0088713E" w:rsidRPr="006D6427" w:rsidRDefault="0088713E" w:rsidP="0088713E">
      <w:pPr>
        <w:jc w:val="both"/>
        <w:rPr>
          <w:szCs w:val="22"/>
          <w:lang w:val="fr-FR"/>
        </w:rPr>
      </w:pPr>
      <w:r w:rsidRPr="006D6427">
        <w:rPr>
          <w:szCs w:val="22"/>
          <w:lang w:val="fr-FR"/>
        </w:rPr>
        <w:t>En conséquence, eu égard à l’ensemble des facteurs pertinents du cas d'espèce et après appréciation de ces derniers, la division d'opposition conclut qu'il est improbable que le public concerné établisse une connexion mentale entre les signes en conflit, c'est-à-dire qu’il établisse un «</w:t>
      </w:r>
      <w:r w:rsidR="00C35293" w:rsidRPr="006D6427">
        <w:rPr>
          <w:szCs w:val="22"/>
          <w:lang w:val="fr-FR"/>
        </w:rPr>
        <w:t> </w:t>
      </w:r>
      <w:r w:rsidRPr="006D6427">
        <w:rPr>
          <w:szCs w:val="22"/>
          <w:lang w:val="fr-FR"/>
        </w:rPr>
        <w:t>lien</w:t>
      </w:r>
      <w:r w:rsidR="00C35293" w:rsidRPr="006D6427">
        <w:rPr>
          <w:szCs w:val="22"/>
          <w:lang w:val="fr-FR"/>
        </w:rPr>
        <w:t> </w:t>
      </w:r>
      <w:r w:rsidRPr="006D6427">
        <w:rPr>
          <w:szCs w:val="22"/>
          <w:lang w:val="fr-FR"/>
        </w:rPr>
        <w:t>» entre ceux-ci. Dès lors, l'opposition n'est pas fondée au sens de l'article 8, paragraphe 5, du RMUE et doit être rejetée.</w:t>
      </w:r>
    </w:p>
    <w:p w14:paraId="13B82811" w14:textId="77777777" w:rsidR="0088713E" w:rsidRPr="006D6427" w:rsidRDefault="0088713E" w:rsidP="00532E50">
      <w:pPr>
        <w:jc w:val="both"/>
        <w:rPr>
          <w:szCs w:val="22"/>
          <w:lang w:val="fr-FR"/>
        </w:rPr>
      </w:pPr>
    </w:p>
    <w:p w14:paraId="478A7FD3" w14:textId="46DCF64D" w:rsidR="003E1EF4" w:rsidRPr="006D6427" w:rsidRDefault="003E1EF4" w:rsidP="00532E50">
      <w:pPr>
        <w:rPr>
          <w:szCs w:val="22"/>
          <w:lang w:val="fr-FR"/>
        </w:rPr>
      </w:pPr>
      <w:bookmarkStart w:id="21" w:name="chk-paragraph-14_nodeId-1960858865"/>
      <w:bookmarkEnd w:id="20"/>
    </w:p>
    <w:p w14:paraId="478A7FD4" w14:textId="77777777" w:rsidR="003E1EF4" w:rsidRPr="006D6427" w:rsidRDefault="005453F4" w:rsidP="00532E50">
      <w:pPr>
        <w:jc w:val="both"/>
        <w:rPr>
          <w:szCs w:val="22"/>
          <w:lang w:val="fr-FR"/>
        </w:rPr>
      </w:pPr>
      <w:bookmarkStart w:id="22" w:name="chk-paragraph-14-3_nodeId--2106770634"/>
      <w:bookmarkEnd w:id="21"/>
      <w:r w:rsidRPr="006D6427">
        <w:rPr>
          <w:b/>
          <w:szCs w:val="22"/>
          <w:lang w:val="fr-FR"/>
        </w:rPr>
        <w:t>FRAIS</w:t>
      </w:r>
    </w:p>
    <w:p w14:paraId="478A7FD5" w14:textId="77777777" w:rsidR="003E1EF4" w:rsidRPr="006D6427" w:rsidRDefault="003E1EF4" w:rsidP="00532E50">
      <w:pPr>
        <w:jc w:val="both"/>
        <w:rPr>
          <w:szCs w:val="22"/>
          <w:lang w:val="fr-FR"/>
        </w:rPr>
      </w:pPr>
    </w:p>
    <w:p w14:paraId="478A7FD7" w14:textId="77777777" w:rsidR="003E1EF4" w:rsidRPr="006D6427" w:rsidRDefault="005453F4" w:rsidP="00532E50">
      <w:pPr>
        <w:jc w:val="both"/>
        <w:rPr>
          <w:szCs w:val="22"/>
          <w:lang w:val="fr-FR"/>
        </w:rPr>
      </w:pPr>
      <w:r w:rsidRPr="006D6427">
        <w:rPr>
          <w:szCs w:val="22"/>
          <w:lang w:val="fr-FR"/>
        </w:rPr>
        <w:t>Conformément à l’article 109, paragraphe 1, du RMUE, la partie perdante dans une procédure d’opposition supporte les frais et taxes exposés par l’autre partie.</w:t>
      </w:r>
    </w:p>
    <w:p w14:paraId="478A7FD8" w14:textId="77777777" w:rsidR="003E1EF4" w:rsidRPr="006D6427" w:rsidRDefault="003E1EF4" w:rsidP="00532E50">
      <w:pPr>
        <w:jc w:val="both"/>
        <w:rPr>
          <w:szCs w:val="22"/>
          <w:lang w:val="fr-FR"/>
        </w:rPr>
      </w:pPr>
    </w:p>
    <w:p w14:paraId="478A7FDA" w14:textId="19B75741" w:rsidR="003E1EF4" w:rsidRPr="006D6427" w:rsidRDefault="005453F4" w:rsidP="00532E50">
      <w:pPr>
        <w:jc w:val="both"/>
        <w:rPr>
          <w:szCs w:val="22"/>
          <w:lang w:val="fr-FR"/>
        </w:rPr>
      </w:pPr>
      <w:r w:rsidRPr="006D6427">
        <w:rPr>
          <w:szCs w:val="22"/>
          <w:lang w:val="fr-FR"/>
        </w:rPr>
        <w:t>L’opposante étant la partie perdante, elle doit supporter les frais exposés par la</w:t>
      </w:r>
      <w:r w:rsidR="006D6427" w:rsidRPr="006D6427">
        <w:rPr>
          <w:szCs w:val="22"/>
          <w:lang w:val="fr-FR"/>
        </w:rPr>
        <w:t xml:space="preserve"> </w:t>
      </w:r>
      <w:r w:rsidRPr="006D6427">
        <w:rPr>
          <w:szCs w:val="22"/>
          <w:lang w:val="fr-FR"/>
        </w:rPr>
        <w:t>demanderesse</w:t>
      </w:r>
      <w:r w:rsidR="006D6427" w:rsidRPr="006D6427">
        <w:rPr>
          <w:szCs w:val="22"/>
          <w:lang w:val="fr-FR"/>
        </w:rPr>
        <w:t xml:space="preserve"> </w:t>
      </w:r>
      <w:r w:rsidRPr="006D6427">
        <w:rPr>
          <w:szCs w:val="22"/>
          <w:lang w:val="fr-FR"/>
        </w:rPr>
        <w:t>aux fins de la présente procédure.</w:t>
      </w:r>
    </w:p>
    <w:p w14:paraId="478A7FDB" w14:textId="77777777" w:rsidR="003E1EF4" w:rsidRPr="006D6427" w:rsidRDefault="003E1EF4" w:rsidP="00532E50">
      <w:pPr>
        <w:jc w:val="both"/>
        <w:rPr>
          <w:szCs w:val="22"/>
          <w:lang w:val="fr-FR"/>
        </w:rPr>
      </w:pPr>
    </w:p>
    <w:p w14:paraId="478A7FDC" w14:textId="12D4A40B" w:rsidR="003E1EF4" w:rsidRPr="006D6427" w:rsidRDefault="005453F4" w:rsidP="00532E50">
      <w:pPr>
        <w:jc w:val="both"/>
        <w:rPr>
          <w:szCs w:val="22"/>
          <w:lang w:val="fr-FR"/>
        </w:rPr>
      </w:pPr>
      <w:bookmarkStart w:id="23" w:name="chk-paragraph-14-3-1_nodeId-714806102"/>
      <w:bookmarkEnd w:id="22"/>
      <w:r w:rsidRPr="006D6427">
        <w:rPr>
          <w:szCs w:val="22"/>
          <w:lang w:val="fr-FR"/>
        </w:rPr>
        <w:t>Conformément à l’article 109, paragraphe 7, du RMUE et à l’article 18, paragraphe 1, point c, sous i), du REMUE, les frais à rembourser à la</w:t>
      </w:r>
      <w:r w:rsidR="006D6427" w:rsidRPr="006D6427">
        <w:rPr>
          <w:szCs w:val="22"/>
          <w:lang w:val="fr-FR"/>
        </w:rPr>
        <w:t xml:space="preserve"> </w:t>
      </w:r>
      <w:r w:rsidRPr="006D6427">
        <w:rPr>
          <w:szCs w:val="22"/>
          <w:lang w:val="fr-FR"/>
        </w:rPr>
        <w:t>demanderesse</w:t>
      </w:r>
      <w:r w:rsidR="006D6427" w:rsidRPr="006D6427">
        <w:rPr>
          <w:szCs w:val="22"/>
          <w:lang w:val="fr-FR"/>
        </w:rPr>
        <w:t xml:space="preserve"> </w:t>
      </w:r>
      <w:r w:rsidRPr="006D6427">
        <w:rPr>
          <w:szCs w:val="22"/>
          <w:lang w:val="fr-FR"/>
        </w:rPr>
        <w:t>sont les frais de représentation dont le montant est fixé dans la limite du taux maximal déterminé dans le RMUE.</w:t>
      </w:r>
    </w:p>
    <w:p w14:paraId="608113F7" w14:textId="77777777" w:rsidR="0022002B" w:rsidRPr="006D6427" w:rsidRDefault="0022002B" w:rsidP="00532E50">
      <w:pPr>
        <w:jc w:val="both"/>
        <w:rPr>
          <w:szCs w:val="22"/>
          <w:lang w:val="fr-FR"/>
        </w:rPr>
      </w:pPr>
    </w:p>
    <w:p w14:paraId="478A7FDD" w14:textId="35122FEB" w:rsidR="003E1EF4" w:rsidRPr="006D6427" w:rsidRDefault="005453F4" w:rsidP="00532E50">
      <w:pPr>
        <w:jc w:val="both"/>
        <w:rPr>
          <w:szCs w:val="22"/>
          <w:lang w:val="fr-FR"/>
        </w:rPr>
      </w:pPr>
      <w:r w:rsidRPr="006D6427">
        <w:rPr>
          <w:szCs w:val="22"/>
          <w:lang w:val="fr-FR"/>
        </w:rPr>
        <w:t> </w:t>
      </w:r>
    </w:p>
    <w:p w14:paraId="478A7FDE" w14:textId="77777777" w:rsidR="003E1EF4" w:rsidRPr="006D6427" w:rsidRDefault="005453F4" w:rsidP="00532E50">
      <w:pPr>
        <w:jc w:val="center"/>
        <w:rPr>
          <w:szCs w:val="22"/>
        </w:rPr>
      </w:pPr>
      <w:bookmarkStart w:id="24" w:name="rId8"/>
      <w:bookmarkStart w:id="25" w:name="chk-paragraph-15_nodeId-1949981362"/>
      <w:bookmarkEnd w:id="23"/>
      <w:r w:rsidRPr="006D6427">
        <w:rPr>
          <w:noProof/>
          <w:szCs w:val="22"/>
        </w:rPr>
        <w:lastRenderedPageBreak/>
        <w:drawing>
          <wp:inline distT="0" distB="0" distL="0" distR="0" wp14:anchorId="478A7FF1" wp14:editId="478A7FF2">
            <wp:extent cx="619125" cy="628650"/>
            <wp:effectExtent l="0" t="0" r="0" b="0"/>
            <wp:docPr id="674642692" name="Picture 67464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125" cy="628650"/>
                    </a:xfrm>
                    <a:prstGeom prst="rect">
                      <a:avLst/>
                    </a:prstGeom>
                  </pic:spPr>
                </pic:pic>
              </a:graphicData>
            </a:graphic>
          </wp:inline>
        </w:drawing>
      </w:r>
      <w:bookmarkEnd w:id="24"/>
    </w:p>
    <w:p w14:paraId="478A7FDF" w14:textId="47DA0AFB" w:rsidR="003E1EF4" w:rsidRPr="006D6427" w:rsidRDefault="005453F4" w:rsidP="00532E50">
      <w:pPr>
        <w:jc w:val="both"/>
        <w:rPr>
          <w:szCs w:val="22"/>
        </w:rPr>
      </w:pPr>
      <w:r w:rsidRPr="006D6427">
        <w:rPr>
          <w:szCs w:val="22"/>
        </w:rPr>
        <w:t> </w:t>
      </w:r>
    </w:p>
    <w:p w14:paraId="478A7FE0" w14:textId="53BAABB0" w:rsidR="003E1EF4" w:rsidRPr="006D6427" w:rsidRDefault="005453F4" w:rsidP="00532E50">
      <w:pPr>
        <w:jc w:val="both"/>
        <w:rPr>
          <w:szCs w:val="22"/>
        </w:rPr>
      </w:pPr>
      <w:r w:rsidRPr="006D6427">
        <w:rPr>
          <w:szCs w:val="22"/>
        </w:rPr>
        <w:t> </w:t>
      </w:r>
    </w:p>
    <w:p w14:paraId="478A7FE1" w14:textId="77777777" w:rsidR="003E1EF4" w:rsidRPr="006D6427" w:rsidRDefault="005453F4" w:rsidP="00532E50">
      <w:pPr>
        <w:jc w:val="center"/>
        <w:rPr>
          <w:szCs w:val="22"/>
        </w:rPr>
      </w:pPr>
      <w:r w:rsidRPr="006D6427">
        <w:rPr>
          <w:b/>
          <w:szCs w:val="22"/>
        </w:rPr>
        <w:t xml:space="preserve">La division </w:t>
      </w:r>
      <w:proofErr w:type="spellStart"/>
      <w:r w:rsidRPr="006D6427">
        <w:rPr>
          <w:b/>
          <w:szCs w:val="22"/>
        </w:rPr>
        <w:t>d’opposition</w:t>
      </w:r>
      <w:proofErr w:type="spellEnd"/>
    </w:p>
    <w:p w14:paraId="478A7FE2" w14:textId="6DCF3A8A" w:rsidR="003E1EF4" w:rsidRPr="006D6427" w:rsidRDefault="005453F4" w:rsidP="00532E50">
      <w:pPr>
        <w:jc w:val="both"/>
        <w:rPr>
          <w:szCs w:val="22"/>
        </w:rPr>
      </w:pPr>
      <w:r w:rsidRPr="006D6427">
        <w:rPr>
          <w:szCs w:val="22"/>
        </w:rPr>
        <w:t> </w:t>
      </w:r>
    </w:p>
    <w:p w14:paraId="478A7FE3" w14:textId="7093E1B7" w:rsidR="003E1EF4" w:rsidRPr="006D6427" w:rsidRDefault="005453F4" w:rsidP="00532E50">
      <w:pPr>
        <w:jc w:val="both"/>
        <w:rPr>
          <w:szCs w:val="22"/>
        </w:rPr>
      </w:pPr>
      <w:r w:rsidRPr="006D6427">
        <w:rPr>
          <w:szCs w:val="22"/>
        </w:rPr>
        <w:t> </w:t>
      </w:r>
    </w:p>
    <w:tbl>
      <w:tblPr>
        <w:tblW w:w="0" w:type="auto"/>
        <w:tblCellSpacing w:w="0" w:type="auto"/>
        <w:tblLook w:val="04A0" w:firstRow="1" w:lastRow="0" w:firstColumn="1" w:lastColumn="0" w:noHBand="0" w:noVBand="1"/>
      </w:tblPr>
      <w:tblGrid>
        <w:gridCol w:w="3092"/>
        <w:gridCol w:w="2933"/>
        <w:gridCol w:w="3002"/>
      </w:tblGrid>
      <w:tr w:rsidR="000D05FA" w:rsidRPr="006D6427" w14:paraId="478A7FE9" w14:textId="77777777">
        <w:trPr>
          <w:trHeight w:val="30"/>
          <w:tblCellSpacing w:w="0" w:type="auto"/>
        </w:trPr>
        <w:tc>
          <w:tcPr>
            <w:tcW w:w="3779" w:type="dxa"/>
            <w:tcMar>
              <w:top w:w="15" w:type="dxa"/>
              <w:left w:w="15" w:type="dxa"/>
              <w:bottom w:w="15" w:type="dxa"/>
              <w:right w:w="15" w:type="dxa"/>
            </w:tcMar>
            <w:vAlign w:val="center"/>
          </w:tcPr>
          <w:p w14:paraId="478A7FE5" w14:textId="47EE0F9D" w:rsidR="003E1EF4" w:rsidRPr="006D6427" w:rsidRDefault="00F91706" w:rsidP="00532E50">
            <w:pPr>
              <w:ind w:left="15"/>
              <w:jc w:val="center"/>
              <w:rPr>
                <w:shadow/>
                <w:szCs w:val="22"/>
              </w:rPr>
            </w:pPr>
            <w:bookmarkStart w:id="26" w:name="docx4j_tbl_0"/>
            <w:r w:rsidRPr="006D6427">
              <w:rPr>
                <w:szCs w:val="22"/>
              </w:rPr>
              <w:t>Monika CISZEWSKA</w:t>
            </w:r>
          </w:p>
        </w:tc>
        <w:tc>
          <w:tcPr>
            <w:tcW w:w="3780" w:type="dxa"/>
            <w:tcMar>
              <w:top w:w="15" w:type="dxa"/>
              <w:left w:w="15" w:type="dxa"/>
              <w:bottom w:w="15" w:type="dxa"/>
              <w:right w:w="15" w:type="dxa"/>
            </w:tcMar>
            <w:vAlign w:val="center"/>
          </w:tcPr>
          <w:p w14:paraId="478A7FE6" w14:textId="77777777" w:rsidR="003E1EF4" w:rsidRPr="006D6427" w:rsidRDefault="005453F4" w:rsidP="00532E50">
            <w:pPr>
              <w:ind w:left="15"/>
              <w:jc w:val="center"/>
              <w:rPr>
                <w:shadow/>
                <w:szCs w:val="22"/>
              </w:rPr>
            </w:pPr>
            <w:r w:rsidRPr="006D6427">
              <w:rPr>
                <w:szCs w:val="22"/>
              </w:rPr>
              <w:t>Martina GALLE</w:t>
            </w:r>
          </w:p>
        </w:tc>
        <w:tc>
          <w:tcPr>
            <w:tcW w:w="3780" w:type="dxa"/>
            <w:tcMar>
              <w:top w:w="15" w:type="dxa"/>
              <w:left w:w="15" w:type="dxa"/>
              <w:bottom w:w="15" w:type="dxa"/>
              <w:right w:w="15" w:type="dxa"/>
            </w:tcMar>
            <w:vAlign w:val="center"/>
          </w:tcPr>
          <w:p w14:paraId="478A7FE8" w14:textId="6C5BD9F0" w:rsidR="003E1EF4" w:rsidRPr="006D6427" w:rsidRDefault="001214E0" w:rsidP="008C6FCE">
            <w:pPr>
              <w:ind w:left="15"/>
              <w:jc w:val="center"/>
              <w:rPr>
                <w:szCs w:val="22"/>
                <w:lang w:val="es-ES"/>
              </w:rPr>
            </w:pPr>
            <w:r w:rsidRPr="006D6427">
              <w:rPr>
                <w:szCs w:val="22"/>
                <w:lang w:val="es-ES"/>
              </w:rPr>
              <w:t>Julia</w:t>
            </w:r>
            <w:r w:rsidR="008C6FCE" w:rsidRPr="006D6427">
              <w:rPr>
                <w:szCs w:val="22"/>
                <w:lang w:val="es-ES"/>
              </w:rPr>
              <w:t xml:space="preserve"> </w:t>
            </w:r>
            <w:r w:rsidRPr="006D6427">
              <w:rPr>
                <w:szCs w:val="22"/>
                <w:lang w:val="es-ES"/>
              </w:rPr>
              <w:t>GARCÍA MURILLO</w:t>
            </w:r>
          </w:p>
        </w:tc>
      </w:tr>
    </w:tbl>
    <w:bookmarkEnd w:id="26"/>
    <w:p w14:paraId="478A7FEA" w14:textId="66EC295B" w:rsidR="003E1EF4" w:rsidRPr="006D6427" w:rsidRDefault="005453F4" w:rsidP="00532E50">
      <w:pPr>
        <w:jc w:val="both"/>
        <w:rPr>
          <w:szCs w:val="22"/>
          <w:lang w:val="es-ES"/>
        </w:rPr>
      </w:pPr>
      <w:r w:rsidRPr="006D6427">
        <w:rPr>
          <w:szCs w:val="22"/>
          <w:lang w:val="es-ES"/>
        </w:rPr>
        <w:t> </w:t>
      </w:r>
    </w:p>
    <w:p w14:paraId="478A7FEF" w14:textId="77777777" w:rsidR="003E1EF4" w:rsidRPr="006D6427" w:rsidRDefault="003E1EF4" w:rsidP="00532E50">
      <w:pPr>
        <w:jc w:val="both"/>
        <w:rPr>
          <w:szCs w:val="22"/>
          <w:lang w:val="es-ES"/>
        </w:rPr>
      </w:pPr>
      <w:bookmarkStart w:id="27" w:name="chk-paragraph-17_nodeId-1939635670"/>
      <w:bookmarkEnd w:id="25"/>
    </w:p>
    <w:p w14:paraId="04764281" w14:textId="77777777" w:rsidR="006D6427" w:rsidRPr="006D6427" w:rsidRDefault="005453F4" w:rsidP="00532E50">
      <w:pPr>
        <w:jc w:val="both"/>
        <w:rPr>
          <w:szCs w:val="22"/>
          <w:lang w:val="fr-FR"/>
        </w:rPr>
      </w:pPr>
      <w:r w:rsidRPr="006D6427">
        <w:rPr>
          <w:szCs w:val="22"/>
          <w:lang w:val="fr-FR"/>
        </w:rPr>
        <w:t>Conformément à l’article 67, du RMUE, toute partie lésée par cette décision peut former un recours à son encontre. Conformément à l’article 68 du RMUE, le recours doit être formé par écrit auprès de l’Office dans un délai de deux mois à compter du jour de la notification de la présente décision. Il doit être déposé dans la langue de procédure de la décision attaquée. En outre, un mémoire exposant les motifs du recours doit être déposé par écrit dans un délai de quatre mois à compter de cette même date. Le recours n’est considéré comme formé qu’après paiement de la taxe de recours de 720 EUR.</w:t>
      </w:r>
      <w:bookmarkEnd w:id="27"/>
    </w:p>
    <w:sectPr w:rsidR="006D6427" w:rsidRPr="006D6427">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4A4E" w14:textId="77777777" w:rsidR="004D6C5E" w:rsidRDefault="004D6C5E">
      <w:r>
        <w:separator/>
      </w:r>
    </w:p>
  </w:endnote>
  <w:endnote w:type="continuationSeparator" w:id="0">
    <w:p w14:paraId="43FD5D26" w14:textId="77777777" w:rsidR="004D6C5E" w:rsidRDefault="004D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C5CB" w14:textId="77777777" w:rsidR="006D6427" w:rsidRDefault="006D64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37CC" w14:textId="77777777" w:rsidR="006D6427" w:rsidRDefault="006D642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1953" w14:textId="77777777" w:rsidR="006D6427" w:rsidRDefault="006D64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E96F" w14:textId="77777777" w:rsidR="004D6C5E" w:rsidRDefault="004D6C5E">
      <w:r>
        <w:separator/>
      </w:r>
    </w:p>
  </w:footnote>
  <w:footnote w:type="continuationSeparator" w:id="0">
    <w:p w14:paraId="731C32C2" w14:textId="77777777" w:rsidR="004D6C5E" w:rsidRDefault="004D6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A940" w14:textId="77777777" w:rsidR="006D6427" w:rsidRDefault="006D64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7FF3" w14:textId="77777777" w:rsidR="003E1EF4" w:rsidRPr="00660DC8" w:rsidRDefault="005453F4">
    <w:pPr>
      <w:pBdr>
        <w:bottom w:val="single" w:sz="6" w:space="1" w:color="595959"/>
      </w:pBdr>
      <w:tabs>
        <w:tab w:val="right" w:pos="9000"/>
      </w:tabs>
      <w:rPr>
        <w:lang w:val="fr-FR"/>
      </w:rPr>
    </w:pPr>
    <w:r w:rsidRPr="00660DC8">
      <w:rPr>
        <w:lang w:val="fr-FR"/>
      </w:rPr>
      <w:t xml:space="preserve">Décision sur l’opposition n° </w:t>
    </w:r>
    <w:r w:rsidRPr="00660DC8">
      <w:rPr>
        <w:b/>
        <w:bCs/>
        <w:lang w:val="fr-FR"/>
      </w:rPr>
      <w:t>B 3 237 008</w:t>
    </w:r>
    <w:r w:rsidRPr="00660DC8">
      <w:rPr>
        <w:lang w:val="fr-FR"/>
      </w:rPr>
      <w:tab/>
      <w:t xml:space="preserve">Page </w:t>
    </w:r>
    <w:r>
      <w:fldChar w:fldCharType="begin"/>
    </w:r>
    <w:r w:rsidRPr="00660DC8">
      <w:rPr>
        <w:lang w:val="fr-FR"/>
      </w:rPr>
      <w:instrText>PAGE</w:instrText>
    </w:r>
    <w:r>
      <w:fldChar w:fldCharType="separate"/>
    </w:r>
    <w:r w:rsidRPr="00660DC8">
      <w:rPr>
        <w:lang w:val="fr-FR"/>
      </w:rPr>
      <w:t>1</w:t>
    </w:r>
    <w:r>
      <w:fldChar w:fldCharType="end"/>
    </w:r>
    <w:r w:rsidRPr="00660DC8">
      <w:rPr>
        <w:lang w:val="fr-FR"/>
      </w:rPr>
      <w:t xml:space="preserve"> sur </w:t>
    </w:r>
    <w:r>
      <w:fldChar w:fldCharType="begin"/>
    </w:r>
    <w:r w:rsidRPr="00660DC8">
      <w:rPr>
        <w:lang w:val="fr-FR"/>
      </w:rPr>
      <w:instrText>NUMPAGES</w:instrText>
    </w:r>
    <w:r>
      <w:fldChar w:fldCharType="separate"/>
    </w:r>
    <w:r w:rsidRPr="00660DC8">
      <w:rPr>
        <w:lang w:val="fr-FR"/>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7FF4" w14:textId="77777777" w:rsidR="003E1EF4" w:rsidRDefault="005453F4">
    <w:r>
      <w:rPr>
        <w:noProof/>
      </w:rPr>
      <w:drawing>
        <wp:inline distT="0" distB="0" distL="0" distR="0" wp14:anchorId="478A7FF7" wp14:editId="478A7FF8">
          <wp:extent cx="1587500" cy="398159"/>
          <wp:effectExtent l="0" t="0" r="0" b="0"/>
          <wp:docPr id="1"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1"/>
                  <a:stretch>
                    <a:fillRect/>
                  </a:stretch>
                </pic:blipFill>
                <pic:spPr>
                  <a:xfrm>
                    <a:off x="0" y="0"/>
                    <a:ext cx="1587500" cy="398159"/>
                  </a:xfrm>
                  <a:prstGeom prst="rect">
                    <a:avLst/>
                  </a:prstGeom>
                </pic:spPr>
              </pic:pic>
            </a:graphicData>
          </a:graphic>
        </wp:inline>
      </w:drawing>
    </w:r>
  </w:p>
  <w:p w14:paraId="478A7FF5" w14:textId="77777777" w:rsidR="003E1EF4" w:rsidRDefault="005453F4">
    <w:pPr>
      <w:pBdr>
        <w:bottom w:val="single" w:sz="6" w:space="1" w:color="595959"/>
      </w:pBdr>
      <w:jc w:val="right"/>
    </w:pPr>
    <w:r>
      <w:rPr>
        <w:color w:val="595959"/>
        <w:sz w:val="18"/>
      </w:rPr>
      <w:t>DIVISION D’OPPOSITION</w:t>
    </w:r>
  </w:p>
  <w:p w14:paraId="478A7FF6" w14:textId="77777777" w:rsidR="003E1EF4" w:rsidRDefault="003E1EF4">
    <w:pPr>
      <w:spacing w:before="40"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0D2E02"/>
    <w:multiLevelType w:val="multilevel"/>
    <w:tmpl w:val="85465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704D2C"/>
    <w:multiLevelType w:val="hybridMultilevel"/>
    <w:tmpl w:val="145C5C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506EB1"/>
    <w:multiLevelType w:val="hybridMultilevel"/>
    <w:tmpl w:val="D4FC7370"/>
    <w:lvl w:ilvl="0" w:tplc="2206B6FE">
      <w:numFmt w:val="bullet"/>
      <w:lvlText w:val="-"/>
      <w:lvlJc w:val="left"/>
      <w:pPr>
        <w:ind w:left="360" w:hanging="360"/>
      </w:pPr>
      <w:rPr>
        <w:rFonts w:ascii="Arial" w:eastAsia="Arial" w:hAnsi="Arial" w:cs="Aria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95950"/>
    <w:multiLevelType w:val="multilevel"/>
    <w:tmpl w:val="2FC4C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D54381"/>
    <w:multiLevelType w:val="hybridMultilevel"/>
    <w:tmpl w:val="CBD8A41E"/>
    <w:lvl w:ilvl="0" w:tplc="2206B6FE">
      <w:numFmt w:val="bullet"/>
      <w:lvlText w:val="-"/>
      <w:lvlJc w:val="left"/>
      <w:pPr>
        <w:ind w:left="360" w:hanging="360"/>
      </w:pPr>
      <w:rPr>
        <w:rFonts w:ascii="Arial" w:eastAsia="Arial" w:hAnsi="Arial" w:cs="Aria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9A0D15"/>
    <w:multiLevelType w:val="hybridMultilevel"/>
    <w:tmpl w:val="1B780982"/>
    <w:lvl w:ilvl="0" w:tplc="2206B6FE">
      <w:numFmt w:val="bullet"/>
      <w:lvlText w:val="-"/>
      <w:lvlJc w:val="left"/>
      <w:pPr>
        <w:ind w:left="360" w:hanging="360"/>
      </w:pPr>
      <w:rPr>
        <w:rFonts w:ascii="Arial" w:eastAsia="Arial" w:hAnsi="Arial" w:cs="Aria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BF43E7"/>
    <w:multiLevelType w:val="multilevel"/>
    <w:tmpl w:val="714C1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9453F1"/>
    <w:multiLevelType w:val="hybridMultilevel"/>
    <w:tmpl w:val="C34A7A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4007E5"/>
    <w:multiLevelType w:val="multilevel"/>
    <w:tmpl w:val="3C002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0C3FD1"/>
    <w:multiLevelType w:val="multilevel"/>
    <w:tmpl w:val="ECC86D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9812786">
    <w:abstractNumId w:val="10"/>
  </w:num>
  <w:num w:numId="2" w16cid:durableId="2098210465">
    <w:abstractNumId w:val="0"/>
  </w:num>
  <w:num w:numId="3" w16cid:durableId="1288049619">
    <w:abstractNumId w:val="11"/>
  </w:num>
  <w:num w:numId="4" w16cid:durableId="901914497">
    <w:abstractNumId w:val="1"/>
  </w:num>
  <w:num w:numId="5" w16cid:durableId="1114792875">
    <w:abstractNumId w:val="4"/>
  </w:num>
  <w:num w:numId="6" w16cid:durableId="653069032">
    <w:abstractNumId w:val="9"/>
  </w:num>
  <w:num w:numId="7" w16cid:durableId="765033416">
    <w:abstractNumId w:val="7"/>
  </w:num>
  <w:num w:numId="8" w16cid:durableId="1888105245">
    <w:abstractNumId w:val="3"/>
  </w:num>
  <w:num w:numId="9" w16cid:durableId="2068142537">
    <w:abstractNumId w:val="5"/>
  </w:num>
  <w:num w:numId="10" w16cid:durableId="1859463348">
    <w:abstractNumId w:val="6"/>
  </w:num>
  <w:num w:numId="11" w16cid:durableId="1970210025">
    <w:abstractNumId w:val="2"/>
  </w:num>
  <w:num w:numId="12" w16cid:durableId="2015450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F4"/>
    <w:rsid w:val="0002737D"/>
    <w:rsid w:val="000379C1"/>
    <w:rsid w:val="00037AF4"/>
    <w:rsid w:val="00096E2E"/>
    <w:rsid w:val="000D05FA"/>
    <w:rsid w:val="000E03C8"/>
    <w:rsid w:val="00105678"/>
    <w:rsid w:val="001214E0"/>
    <w:rsid w:val="001454CA"/>
    <w:rsid w:val="00164067"/>
    <w:rsid w:val="0017422B"/>
    <w:rsid w:val="001C6B84"/>
    <w:rsid w:val="001F56E9"/>
    <w:rsid w:val="00217DF4"/>
    <w:rsid w:val="0022002B"/>
    <w:rsid w:val="0023394D"/>
    <w:rsid w:val="00253F73"/>
    <w:rsid w:val="002708D9"/>
    <w:rsid w:val="002709A7"/>
    <w:rsid w:val="0029587D"/>
    <w:rsid w:val="002D24B2"/>
    <w:rsid w:val="002D64CC"/>
    <w:rsid w:val="00345ACB"/>
    <w:rsid w:val="003576E0"/>
    <w:rsid w:val="003A1281"/>
    <w:rsid w:val="003A356E"/>
    <w:rsid w:val="003D7819"/>
    <w:rsid w:val="003E1EF4"/>
    <w:rsid w:val="00402B43"/>
    <w:rsid w:val="00427C93"/>
    <w:rsid w:val="00444CC2"/>
    <w:rsid w:val="004778EF"/>
    <w:rsid w:val="004A2902"/>
    <w:rsid w:val="004A6CFB"/>
    <w:rsid w:val="004D121F"/>
    <w:rsid w:val="004D6C5E"/>
    <w:rsid w:val="004E44CB"/>
    <w:rsid w:val="00532E50"/>
    <w:rsid w:val="005453F4"/>
    <w:rsid w:val="005C7291"/>
    <w:rsid w:val="005F1BA0"/>
    <w:rsid w:val="005F7AD3"/>
    <w:rsid w:val="00611036"/>
    <w:rsid w:val="0062447A"/>
    <w:rsid w:val="00653723"/>
    <w:rsid w:val="00656625"/>
    <w:rsid w:val="00660DC8"/>
    <w:rsid w:val="00671141"/>
    <w:rsid w:val="0069101A"/>
    <w:rsid w:val="006A172C"/>
    <w:rsid w:val="006D6427"/>
    <w:rsid w:val="00710ED1"/>
    <w:rsid w:val="00715178"/>
    <w:rsid w:val="007260F7"/>
    <w:rsid w:val="00727A19"/>
    <w:rsid w:val="00742405"/>
    <w:rsid w:val="007533B3"/>
    <w:rsid w:val="00792E68"/>
    <w:rsid w:val="00827F0C"/>
    <w:rsid w:val="008408F9"/>
    <w:rsid w:val="00866B20"/>
    <w:rsid w:val="0088713E"/>
    <w:rsid w:val="00896E35"/>
    <w:rsid w:val="008C6FCE"/>
    <w:rsid w:val="008F7AF4"/>
    <w:rsid w:val="00901CC2"/>
    <w:rsid w:val="009217A4"/>
    <w:rsid w:val="009420C8"/>
    <w:rsid w:val="009651CC"/>
    <w:rsid w:val="00994758"/>
    <w:rsid w:val="009968A0"/>
    <w:rsid w:val="00A33B1D"/>
    <w:rsid w:val="00A403F5"/>
    <w:rsid w:val="00AF719A"/>
    <w:rsid w:val="00B142F2"/>
    <w:rsid w:val="00B1753E"/>
    <w:rsid w:val="00B46847"/>
    <w:rsid w:val="00B90569"/>
    <w:rsid w:val="00BC14D1"/>
    <w:rsid w:val="00BC4410"/>
    <w:rsid w:val="00C0268D"/>
    <w:rsid w:val="00C33EF8"/>
    <w:rsid w:val="00C35293"/>
    <w:rsid w:val="00CB7F72"/>
    <w:rsid w:val="00CF079C"/>
    <w:rsid w:val="00D01F70"/>
    <w:rsid w:val="00D05846"/>
    <w:rsid w:val="00D06979"/>
    <w:rsid w:val="00D35A72"/>
    <w:rsid w:val="00D45AE4"/>
    <w:rsid w:val="00D755FF"/>
    <w:rsid w:val="00DB174B"/>
    <w:rsid w:val="00DB7D66"/>
    <w:rsid w:val="00DD14B2"/>
    <w:rsid w:val="00E05B1B"/>
    <w:rsid w:val="00E6249B"/>
    <w:rsid w:val="00E75ACF"/>
    <w:rsid w:val="00E76745"/>
    <w:rsid w:val="00E92E52"/>
    <w:rsid w:val="00E97A44"/>
    <w:rsid w:val="00EC317D"/>
    <w:rsid w:val="00EF3FDE"/>
    <w:rsid w:val="00F427ED"/>
    <w:rsid w:val="00F74FBE"/>
    <w:rsid w:val="00F85124"/>
    <w:rsid w:val="00F8514C"/>
    <w:rsid w:val="00F87700"/>
    <w:rsid w:val="00F91706"/>
    <w:rsid w:val="00FC015F"/>
    <w:rsid w:val="00FE2747"/>
    <w:rsid w:val="00FE4393"/>
    <w:rsid w:val="00FE5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7D7F"/>
  <w15:docId w15:val="{A35EA89A-5F33-4B2C-9684-BA846B5A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Titre1">
    <w:name w:val="heading 1"/>
    <w:basedOn w:val="Normal"/>
    <w:next w:val="Normal"/>
    <w:link w:val="Titre1C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re2">
    <w:name w:val="heading 2"/>
    <w:basedOn w:val="Normal"/>
    <w:next w:val="Normal"/>
    <w:link w:val="Titre2C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re3">
    <w:name w:val="heading 3"/>
    <w:basedOn w:val="Normal"/>
    <w:next w:val="Normal"/>
    <w:link w:val="Titre3C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re4">
    <w:name w:val="heading 4"/>
    <w:basedOn w:val="Normal"/>
    <w:next w:val="Normal"/>
    <w:link w:val="Titre4C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CD9"/>
    <w:pPr>
      <w:tabs>
        <w:tab w:val="center" w:pos="4680"/>
        <w:tab w:val="right" w:pos="9360"/>
      </w:tabs>
    </w:pPr>
  </w:style>
  <w:style w:type="character" w:customStyle="1" w:styleId="En-tteCar">
    <w:name w:val="En-tête Car"/>
    <w:basedOn w:val="Policepardfaut"/>
    <w:link w:val="En-tte"/>
    <w:uiPriority w:val="99"/>
    <w:rsid w:val="00841CD9"/>
  </w:style>
  <w:style w:type="character" w:customStyle="1" w:styleId="Titre1Car">
    <w:name w:val="Titre 1 Car"/>
    <w:basedOn w:val="Policepardfaut"/>
    <w:link w:val="Titre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Titre2Car">
    <w:name w:val="Titre 2 Car"/>
    <w:basedOn w:val="Policepardfaut"/>
    <w:link w:val="Titre2"/>
    <w:uiPriority w:val="9"/>
    <w:rsid w:val="00841CD9"/>
    <w:rPr>
      <w:rFonts w:asciiTheme="majorHAnsi" w:eastAsiaTheme="majorEastAsia" w:hAnsiTheme="majorHAnsi" w:cstheme="majorBidi"/>
      <w:b/>
      <w:bCs/>
      <w:color w:val="156082" w:themeColor="accent1"/>
      <w:sz w:val="26"/>
      <w:szCs w:val="26"/>
    </w:rPr>
  </w:style>
  <w:style w:type="character" w:customStyle="1" w:styleId="Titre3Car">
    <w:name w:val="Titre 3 Car"/>
    <w:basedOn w:val="Policepardfaut"/>
    <w:link w:val="Titre3"/>
    <w:uiPriority w:val="9"/>
    <w:rsid w:val="00841CD9"/>
    <w:rPr>
      <w:rFonts w:asciiTheme="majorHAnsi" w:eastAsiaTheme="majorEastAsia" w:hAnsiTheme="majorHAnsi" w:cstheme="majorBidi"/>
      <w:b/>
      <w:bCs/>
      <w:color w:val="156082" w:themeColor="accent1"/>
    </w:rPr>
  </w:style>
  <w:style w:type="character" w:customStyle="1" w:styleId="Titre4Car">
    <w:name w:val="Titre 4 Car"/>
    <w:basedOn w:val="Policepardfaut"/>
    <w:link w:val="Titre4"/>
    <w:uiPriority w:val="9"/>
    <w:rsid w:val="00841CD9"/>
    <w:rPr>
      <w:rFonts w:asciiTheme="majorHAnsi" w:eastAsiaTheme="majorEastAsia" w:hAnsiTheme="majorHAnsi" w:cstheme="majorBidi"/>
      <w:b/>
      <w:bCs/>
      <w:i/>
      <w:iCs/>
      <w:color w:val="156082" w:themeColor="accent1"/>
    </w:rPr>
  </w:style>
  <w:style w:type="paragraph" w:styleId="Retraitnormal">
    <w:name w:val="Normal Indent"/>
    <w:basedOn w:val="Normal"/>
    <w:uiPriority w:val="99"/>
    <w:unhideWhenUsed/>
    <w:rsid w:val="00841CD9"/>
    <w:pPr>
      <w:ind w:left="720"/>
    </w:pPr>
  </w:style>
  <w:style w:type="paragraph" w:styleId="Sous-titre">
    <w:name w:val="Subtitle"/>
    <w:basedOn w:val="Normal"/>
    <w:next w:val="Normal"/>
    <w:link w:val="Sous-titreC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us-titreCar">
    <w:name w:val="Sous-titre Car"/>
    <w:basedOn w:val="Policepardfaut"/>
    <w:link w:val="Sous-titre"/>
    <w:uiPriority w:val="11"/>
    <w:rsid w:val="00841CD9"/>
    <w:rPr>
      <w:rFonts w:asciiTheme="majorHAnsi" w:eastAsiaTheme="majorEastAsia" w:hAnsiTheme="majorHAnsi" w:cstheme="majorBidi"/>
      <w:i/>
      <w:iCs/>
      <w:color w:val="156082" w:themeColor="accent1"/>
      <w:spacing w:val="15"/>
      <w:sz w:val="24"/>
      <w:szCs w:val="24"/>
    </w:rPr>
  </w:style>
  <w:style w:type="paragraph" w:styleId="Titre">
    <w:name w:val="Title"/>
    <w:basedOn w:val="Normal"/>
    <w:next w:val="Normal"/>
    <w:link w:val="TitreC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ccentuation">
    <w:name w:val="Emphasis"/>
    <w:basedOn w:val="Policepardfaut"/>
    <w:uiPriority w:val="20"/>
    <w:qFormat/>
    <w:rsid w:val="00D1197D"/>
    <w:rPr>
      <w:i/>
      <w:iCs/>
    </w:rPr>
  </w:style>
  <w:style w:type="character" w:styleId="Lienhypertexte">
    <w:name w:val="Hyperlink"/>
    <w:basedOn w:val="Policepardfaut"/>
    <w:uiPriority w:val="99"/>
    <w:unhideWhenUsed/>
    <w:rPr>
      <w:color w:val="467886" w:themeColor="hyperlink"/>
      <w:u w:val="single"/>
    </w:r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rsid w:val="007109C0"/>
    <w:rPr>
      <w:b/>
      <w:bCs/>
      <w:color w:val="156082" w:themeColor="accent1"/>
      <w:sz w:val="18"/>
      <w:szCs w:val="18"/>
    </w:rPr>
  </w:style>
  <w:style w:type="paragraph" w:styleId="Paragraphedeliste">
    <w:name w:val="List Paragraph"/>
    <w:basedOn w:val="Normal"/>
    <w:uiPriority w:val="99"/>
    <w:unhideWhenUsed/>
    <w:rsid w:val="008408F9"/>
    <w:pPr>
      <w:ind w:left="720"/>
      <w:contextualSpacing/>
    </w:pPr>
  </w:style>
  <w:style w:type="character" w:styleId="Mentionnonrsolue">
    <w:name w:val="Unresolved Mention"/>
    <w:basedOn w:val="Policepardfaut"/>
    <w:uiPriority w:val="99"/>
    <w:semiHidden/>
    <w:unhideWhenUsed/>
    <w:rsid w:val="008408F9"/>
    <w:rPr>
      <w:color w:val="605E5C"/>
      <w:shd w:val="clear" w:color="auto" w:fill="E1DFDD"/>
    </w:rPr>
  </w:style>
  <w:style w:type="character" w:styleId="Marquedecommentaire">
    <w:name w:val="annotation reference"/>
    <w:basedOn w:val="Policepardfaut"/>
    <w:uiPriority w:val="99"/>
    <w:semiHidden/>
    <w:unhideWhenUsed/>
    <w:rsid w:val="009968A0"/>
    <w:rPr>
      <w:sz w:val="16"/>
      <w:szCs w:val="16"/>
    </w:rPr>
  </w:style>
  <w:style w:type="paragraph" w:styleId="Commentaire">
    <w:name w:val="annotation text"/>
    <w:basedOn w:val="Normal"/>
    <w:link w:val="CommentaireCar"/>
    <w:uiPriority w:val="99"/>
    <w:unhideWhenUsed/>
    <w:rsid w:val="009968A0"/>
    <w:rPr>
      <w:sz w:val="20"/>
    </w:rPr>
  </w:style>
  <w:style w:type="character" w:customStyle="1" w:styleId="CommentaireCar">
    <w:name w:val="Commentaire Car"/>
    <w:basedOn w:val="Policepardfaut"/>
    <w:link w:val="Commentaire"/>
    <w:uiPriority w:val="99"/>
    <w:rsid w:val="009968A0"/>
    <w:rPr>
      <w:sz w:val="20"/>
    </w:rPr>
  </w:style>
  <w:style w:type="paragraph" w:styleId="Objetducommentaire">
    <w:name w:val="annotation subject"/>
    <w:basedOn w:val="Commentaire"/>
    <w:next w:val="Commentaire"/>
    <w:link w:val="ObjetducommentaireCar"/>
    <w:uiPriority w:val="99"/>
    <w:semiHidden/>
    <w:unhideWhenUsed/>
    <w:rsid w:val="009968A0"/>
    <w:rPr>
      <w:b/>
      <w:bCs/>
    </w:rPr>
  </w:style>
  <w:style w:type="character" w:customStyle="1" w:styleId="ObjetducommentaireCar">
    <w:name w:val="Objet du commentaire Car"/>
    <w:basedOn w:val="CommentaireCar"/>
    <w:link w:val="Objetducommentaire"/>
    <w:uiPriority w:val="99"/>
    <w:semiHidden/>
    <w:rsid w:val="009968A0"/>
    <w:rPr>
      <w:b/>
      <w:bCs/>
      <w:sz w:val="20"/>
    </w:rPr>
  </w:style>
  <w:style w:type="paragraph" w:styleId="Rvision">
    <w:name w:val="Revision"/>
    <w:hidden/>
    <w:uiPriority w:val="99"/>
    <w:unhideWhenUsed/>
    <w:rsid w:val="00EF3FDE"/>
  </w:style>
  <w:style w:type="paragraph" w:styleId="Pieddepage">
    <w:name w:val="footer"/>
    <w:basedOn w:val="Normal"/>
    <w:link w:val="PieddepageCar"/>
    <w:uiPriority w:val="99"/>
    <w:unhideWhenUsed/>
    <w:rsid w:val="006D6427"/>
    <w:pPr>
      <w:tabs>
        <w:tab w:val="center" w:pos="4513"/>
        <w:tab w:val="right" w:pos="9026"/>
      </w:tabs>
    </w:pPr>
  </w:style>
  <w:style w:type="character" w:customStyle="1" w:styleId="PieddepageCar">
    <w:name w:val="Pied de page Car"/>
    <w:basedOn w:val="Policepardfaut"/>
    <w:link w:val="Pieddepage"/>
    <w:uiPriority w:val="99"/>
    <w:rsid w:val="006D6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ject xmlns="0e656187-b300-4fb0-8bf4-3a50f872073c" xsi:nil="true"/>
    <Document_x0020_Identification_x0020_Number xmlns="0e656187-b300-4fb0-8bf4-3a50f872073c">0164876154</Document_x0020_Identification_x0020_Number>
    <Description xmlns="0e656187-b300-4fb0-8bf4-3a50f87207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UIPO Document" ma:contentTypeID="0x01010095AAB2F6272C4B60945611883B6476F9"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Subject" minOccurs="0"/>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Subject" ma:index="8" nillable="true" ma:displayName="Subject" ma:internalName="Subject">
      <xsd:simpleType>
        <xsd:restriction base="dms:Text">
</xsd:restriction>
      </xsd:simpleType>
    </xsd:element>
    <xsd:element name="Document_x0020_Identification_x0020_Number" ma:readOnly="true" ma:index="9" nillable="true" ma:displayName="Document Identification Number" ma:internalName="Document_x0020_Identification_x0020_Number">
      <xsd:simpleType>
        <xsd:restriction base="dms:Text">
</xsd:restriction>
      </xsd:simpleType>
    </xsd:element>
    <xsd:element name="Description" ma:index="10"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A5367A4-C3A3-4281-A6C9-1BD3C84C60E3}">
  <ds:schemaRefs>
    <ds:schemaRef ds:uri="http://schemas.microsoft.com/sharepoint/v3/contenttype/forms"/>
  </ds:schemaRefs>
</ds:datastoreItem>
</file>

<file path=customXml/itemProps2.xml><?xml version="1.0" encoding="utf-8"?>
<ds:datastoreItem xmlns:ds="http://schemas.openxmlformats.org/officeDocument/2006/customXml" ds:itemID="{6EC49A0E-64C2-4DBB-9600-7D6BFFA20409}">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00367F4D-9E3B-4D27-B592-E9BED95D8553}">
  <ds:schemaRefs>
    <ds:schemaRef ds:uri="http://schemas.openxmlformats.org/officeDocument/2006/bibliography"/>
  </ds:schemaRefs>
</ds:datastoreItem>
</file>

<file path=customXml/itemProps4.xml><?xml version="1.0" encoding="utf-8"?>
<ds:datastoreItem xmlns:ds="http://schemas.openxmlformats.org/officeDocument/2006/customXml" ds:itemID="{8DC46384-AC4F-4B23-B27C-F36C097D4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6377</Words>
  <Characters>35077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B3237008-FR-REZERO.docx</vt:lpstr>
    </vt:vector>
  </TitlesOfParts>
  <Company/>
  <LinksUpToDate>false</LinksUpToDate>
  <CharactersWithSpaces>41372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B3237008-FR-REZERO.docx</dc:title>
  <dc:creator>GALLE Martina</dc:creator>
  <cp:lastModifiedBy>Me Julie CURTO</cp:lastModifiedBy>
  <cp:revision>2</cp:revision>
  <dcterms:created xsi:type="dcterms:W3CDTF">2026-04-12T17:04:00Z</dcterms:created>
  <dcterms:modified xsi:type="dcterms:W3CDTF">2026-04-12T17:04:00Z</dcterms:modified>
</cp:coreProperties>
</file>